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92" w:rsidRPr="000D5608" w:rsidRDefault="00DD6F92" w:rsidP="000E0143">
      <w:pPr>
        <w:tabs>
          <w:tab w:val="left" w:pos="4962"/>
        </w:tabs>
        <w:spacing w:after="0" w:line="360" w:lineRule="auto"/>
        <w:ind w:right="49"/>
        <w:jc w:val="both"/>
        <w:rPr>
          <w:rFonts w:cs="Arial"/>
          <w:b/>
          <w:sz w:val="24"/>
          <w:szCs w:val="24"/>
        </w:rPr>
      </w:pPr>
    </w:p>
    <w:p w:rsidR="008C27CF" w:rsidRPr="000D5608" w:rsidRDefault="00DC33C6" w:rsidP="008C27CF">
      <w:pPr>
        <w:spacing w:after="0" w:line="360" w:lineRule="auto"/>
        <w:jc w:val="right"/>
        <w:rPr>
          <w:rFonts w:cstheme="minorHAnsi"/>
          <w:sz w:val="24"/>
          <w:szCs w:val="24"/>
        </w:rPr>
      </w:pPr>
      <w:r w:rsidRPr="000D5608">
        <w:rPr>
          <w:rFonts w:cstheme="minorHAnsi"/>
          <w:sz w:val="24"/>
          <w:szCs w:val="24"/>
        </w:rPr>
        <w:t xml:space="preserve">Mérida, Yucatán a </w:t>
      </w:r>
      <w:r w:rsidR="006508DD" w:rsidRPr="000D5608">
        <w:rPr>
          <w:rFonts w:cstheme="minorHAnsi"/>
          <w:sz w:val="24"/>
          <w:szCs w:val="24"/>
        </w:rPr>
        <w:t xml:space="preserve">18 </w:t>
      </w:r>
      <w:r w:rsidR="0034567A" w:rsidRPr="000D5608">
        <w:rPr>
          <w:rFonts w:cstheme="minorHAnsi"/>
          <w:sz w:val="24"/>
          <w:szCs w:val="24"/>
        </w:rPr>
        <w:t xml:space="preserve">de </w:t>
      </w:r>
      <w:r w:rsidR="000D5608" w:rsidRPr="000D5608">
        <w:rPr>
          <w:rFonts w:cstheme="minorHAnsi"/>
          <w:sz w:val="24"/>
          <w:szCs w:val="24"/>
        </w:rPr>
        <w:t>septiembre</w:t>
      </w:r>
      <w:r w:rsidR="008C27CF" w:rsidRPr="000D5608">
        <w:rPr>
          <w:rFonts w:cstheme="minorHAnsi"/>
          <w:sz w:val="24"/>
          <w:szCs w:val="24"/>
        </w:rPr>
        <w:t xml:space="preserve"> de 2019.</w:t>
      </w:r>
    </w:p>
    <w:p w:rsidR="008C27CF" w:rsidRPr="000D5608" w:rsidRDefault="008C27CF" w:rsidP="008C27CF">
      <w:pPr>
        <w:spacing w:after="0" w:line="360" w:lineRule="auto"/>
        <w:jc w:val="both"/>
        <w:rPr>
          <w:rFonts w:eastAsia="Arial Unicode MS" w:cstheme="minorHAnsi"/>
          <w:b/>
          <w:sz w:val="24"/>
          <w:szCs w:val="24"/>
        </w:rPr>
      </w:pPr>
    </w:p>
    <w:p w:rsidR="008C27CF" w:rsidRPr="000D5608" w:rsidRDefault="008C27CF" w:rsidP="008C27CF">
      <w:pPr>
        <w:spacing w:after="0" w:line="360" w:lineRule="auto"/>
        <w:jc w:val="both"/>
        <w:rPr>
          <w:rFonts w:eastAsia="Arial Unicode MS" w:cstheme="minorHAnsi"/>
          <w:b/>
          <w:sz w:val="24"/>
          <w:szCs w:val="24"/>
        </w:rPr>
      </w:pPr>
      <w:r w:rsidRPr="000D5608">
        <w:rPr>
          <w:rFonts w:eastAsia="Arial Unicode MS" w:cstheme="minorHAnsi"/>
          <w:b/>
          <w:sz w:val="24"/>
          <w:szCs w:val="24"/>
        </w:rPr>
        <w:t>H. CONGRESO DEL ESTADO DE YUCATAN.</w:t>
      </w:r>
    </w:p>
    <w:p w:rsidR="008C27CF" w:rsidRPr="000D5608" w:rsidRDefault="008C27CF" w:rsidP="008C27CF">
      <w:pPr>
        <w:spacing w:after="0" w:line="360" w:lineRule="auto"/>
        <w:jc w:val="both"/>
        <w:rPr>
          <w:rFonts w:eastAsia="Arial Unicode MS" w:cstheme="minorHAnsi"/>
          <w:b/>
          <w:sz w:val="24"/>
          <w:szCs w:val="24"/>
        </w:rPr>
      </w:pPr>
      <w:r w:rsidRPr="000D5608">
        <w:rPr>
          <w:rFonts w:eastAsia="Arial Unicode MS" w:cstheme="minorHAnsi"/>
          <w:b/>
          <w:sz w:val="24"/>
          <w:szCs w:val="24"/>
        </w:rPr>
        <w:t>PRESIDENTE MESA DIRECTIVA.</w:t>
      </w:r>
    </w:p>
    <w:p w:rsidR="008C27CF" w:rsidRPr="000D5608" w:rsidRDefault="008C27CF" w:rsidP="008C27CF">
      <w:pPr>
        <w:spacing w:after="0" w:line="360" w:lineRule="auto"/>
        <w:jc w:val="both"/>
        <w:rPr>
          <w:rFonts w:eastAsia="Arial Unicode MS" w:cstheme="minorHAnsi"/>
          <w:b/>
          <w:sz w:val="24"/>
          <w:szCs w:val="24"/>
        </w:rPr>
      </w:pPr>
    </w:p>
    <w:p w:rsidR="00F01067" w:rsidRPr="000D5608" w:rsidRDefault="00DC33C6" w:rsidP="002926DD">
      <w:pPr>
        <w:spacing w:after="0" w:line="360" w:lineRule="auto"/>
        <w:jc w:val="both"/>
        <w:rPr>
          <w:rFonts w:cstheme="minorHAnsi"/>
          <w:sz w:val="24"/>
          <w:szCs w:val="24"/>
        </w:rPr>
      </w:pPr>
      <w:r w:rsidRPr="000D5608">
        <w:rPr>
          <w:rFonts w:cstheme="minorHAnsi"/>
          <w:sz w:val="24"/>
          <w:szCs w:val="24"/>
        </w:rPr>
        <w:t>La</w:t>
      </w:r>
      <w:r w:rsidR="00D76BEE" w:rsidRPr="000D5608">
        <w:rPr>
          <w:rFonts w:cstheme="minorHAnsi"/>
          <w:sz w:val="24"/>
          <w:szCs w:val="24"/>
        </w:rPr>
        <w:t>s</w:t>
      </w:r>
      <w:r w:rsidRPr="000D5608">
        <w:rPr>
          <w:rFonts w:cstheme="minorHAnsi"/>
          <w:sz w:val="24"/>
          <w:szCs w:val="24"/>
        </w:rPr>
        <w:t xml:space="preserve"> que suscribe</w:t>
      </w:r>
      <w:r w:rsidR="00D76BEE" w:rsidRPr="000D5608">
        <w:rPr>
          <w:rFonts w:cstheme="minorHAnsi"/>
          <w:sz w:val="24"/>
          <w:szCs w:val="24"/>
        </w:rPr>
        <w:t>n</w:t>
      </w:r>
      <w:r w:rsidRPr="000D5608">
        <w:rPr>
          <w:rFonts w:cstheme="minorHAnsi"/>
          <w:sz w:val="24"/>
          <w:szCs w:val="24"/>
        </w:rPr>
        <w:t>, Diputada</w:t>
      </w:r>
      <w:r w:rsidR="00D76BEE" w:rsidRPr="000D5608">
        <w:rPr>
          <w:rFonts w:cstheme="minorHAnsi"/>
          <w:sz w:val="24"/>
          <w:szCs w:val="24"/>
        </w:rPr>
        <w:t>s</w:t>
      </w:r>
      <w:r w:rsidRPr="000D5608">
        <w:rPr>
          <w:rFonts w:cstheme="minorHAnsi"/>
          <w:sz w:val="24"/>
          <w:szCs w:val="24"/>
        </w:rPr>
        <w:t xml:space="preserve"> </w:t>
      </w:r>
      <w:r w:rsidR="00D76BEE" w:rsidRPr="000D5608">
        <w:rPr>
          <w:rFonts w:cstheme="minorHAnsi"/>
          <w:sz w:val="24"/>
          <w:szCs w:val="24"/>
        </w:rPr>
        <w:t xml:space="preserve">María de los Milagros Romero </w:t>
      </w:r>
      <w:proofErr w:type="spellStart"/>
      <w:r w:rsidR="00D76BEE" w:rsidRPr="000D5608">
        <w:rPr>
          <w:rFonts w:cstheme="minorHAnsi"/>
          <w:sz w:val="24"/>
          <w:szCs w:val="24"/>
        </w:rPr>
        <w:t>Bastarrachea</w:t>
      </w:r>
      <w:proofErr w:type="spellEnd"/>
      <w:r w:rsidR="00D76BEE" w:rsidRPr="000D5608">
        <w:rPr>
          <w:rFonts w:cstheme="minorHAnsi"/>
          <w:sz w:val="24"/>
          <w:szCs w:val="24"/>
        </w:rPr>
        <w:t xml:space="preserve"> y  Silvia América López Escoffié</w:t>
      </w:r>
      <w:r w:rsidRPr="000D5608">
        <w:rPr>
          <w:rFonts w:cstheme="minorHAnsi"/>
          <w:sz w:val="24"/>
          <w:szCs w:val="24"/>
        </w:rPr>
        <w:t>, en nombre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w:t>
      </w:r>
      <w:r w:rsidRPr="000D5608">
        <w:rPr>
          <w:rFonts w:cstheme="minorHAnsi"/>
          <w:b/>
          <w:sz w:val="24"/>
          <w:szCs w:val="24"/>
        </w:rPr>
        <w:t xml:space="preserve">, </w:t>
      </w:r>
      <w:r w:rsidR="002E0FD0" w:rsidRPr="000D5608">
        <w:rPr>
          <w:rFonts w:cstheme="minorHAnsi"/>
          <w:b/>
          <w:sz w:val="24"/>
          <w:szCs w:val="24"/>
        </w:rPr>
        <w:t>INICIATIVA DE DECRETO POR EL QUE SE AD</w:t>
      </w:r>
      <w:r w:rsidR="008029E5">
        <w:rPr>
          <w:rFonts w:cstheme="minorHAnsi"/>
          <w:b/>
          <w:sz w:val="24"/>
          <w:szCs w:val="24"/>
        </w:rPr>
        <w:t xml:space="preserve">ICIONAN DIVERSAS DISPOSICIONES DEL </w:t>
      </w:r>
      <w:r w:rsidR="008029E5" w:rsidRPr="008029E5">
        <w:rPr>
          <w:rFonts w:cstheme="minorHAnsi"/>
          <w:b/>
          <w:sz w:val="24"/>
          <w:szCs w:val="24"/>
        </w:rPr>
        <w:t>CÓDIGO DE LA ADMINISTRACIÓN PÚBLICA DE YUCATÁN</w:t>
      </w:r>
      <w:r w:rsidR="008029E5">
        <w:rPr>
          <w:rFonts w:cstheme="minorHAnsi"/>
          <w:b/>
          <w:sz w:val="24"/>
          <w:szCs w:val="24"/>
        </w:rPr>
        <w:t xml:space="preserve"> Y EL</w:t>
      </w:r>
      <w:r w:rsidR="002E0FD0" w:rsidRPr="000D5608">
        <w:rPr>
          <w:rFonts w:cstheme="minorHAnsi"/>
          <w:b/>
          <w:sz w:val="24"/>
          <w:szCs w:val="24"/>
        </w:rPr>
        <w:t xml:space="preserve"> </w:t>
      </w:r>
      <w:r w:rsidR="006508DD" w:rsidRPr="000D5608">
        <w:rPr>
          <w:rFonts w:cstheme="minorHAnsi"/>
          <w:b/>
          <w:sz w:val="24"/>
          <w:szCs w:val="24"/>
        </w:rPr>
        <w:t>CÓDIGO PENAL DEL ESTADO DE YUCATÁN</w:t>
      </w:r>
      <w:r w:rsidRPr="000D5608">
        <w:rPr>
          <w:rFonts w:cstheme="minorHAnsi"/>
          <w:sz w:val="24"/>
          <w:szCs w:val="24"/>
        </w:rPr>
        <w:t>, Lo que realizamos de conformidad con la siguiente:</w:t>
      </w:r>
    </w:p>
    <w:p w:rsidR="000E0143" w:rsidRPr="000D5608" w:rsidRDefault="000E0143" w:rsidP="002926DD">
      <w:pPr>
        <w:spacing w:after="0" w:line="360" w:lineRule="auto"/>
        <w:jc w:val="both"/>
        <w:rPr>
          <w:rFonts w:cstheme="minorHAnsi"/>
          <w:sz w:val="24"/>
          <w:szCs w:val="24"/>
        </w:rPr>
      </w:pPr>
    </w:p>
    <w:p w:rsidR="00E91DA7" w:rsidRPr="000D5608" w:rsidRDefault="00F45D06" w:rsidP="000E4D35">
      <w:pPr>
        <w:tabs>
          <w:tab w:val="center" w:pos="4419"/>
        </w:tabs>
        <w:spacing w:after="0" w:line="360" w:lineRule="auto"/>
        <w:rPr>
          <w:rFonts w:cstheme="minorHAnsi"/>
          <w:b/>
          <w:sz w:val="24"/>
          <w:szCs w:val="24"/>
        </w:rPr>
      </w:pPr>
      <w:r w:rsidRPr="000D5608">
        <w:rPr>
          <w:rFonts w:cstheme="minorHAnsi"/>
          <w:b/>
          <w:sz w:val="24"/>
          <w:szCs w:val="24"/>
        </w:rPr>
        <w:tab/>
      </w:r>
      <w:r w:rsidR="007A2798" w:rsidRPr="000D5608">
        <w:rPr>
          <w:rFonts w:cstheme="minorHAnsi"/>
          <w:b/>
          <w:sz w:val="24"/>
          <w:szCs w:val="24"/>
        </w:rPr>
        <w:t>EXPOSICIÓN DE MOTIVOS</w:t>
      </w:r>
    </w:p>
    <w:p w:rsidR="000833AD" w:rsidRPr="000D5608" w:rsidRDefault="000833AD" w:rsidP="000E4D35">
      <w:pPr>
        <w:tabs>
          <w:tab w:val="center" w:pos="4419"/>
        </w:tabs>
        <w:spacing w:after="0" w:line="360" w:lineRule="auto"/>
        <w:rPr>
          <w:rFonts w:cstheme="minorHAnsi"/>
          <w:b/>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El oficio de cerrajero es uno de los más vulnerables en</w:t>
      </w:r>
      <w:r w:rsidR="00E8523B">
        <w:rPr>
          <w:rFonts w:cstheme="minorHAnsi"/>
          <w:sz w:val="24"/>
          <w:szCs w:val="24"/>
        </w:rPr>
        <w:t xml:space="preserve"> la actualidad, ya que presenta diferentes situaciones que lo</w:t>
      </w:r>
      <w:r w:rsidRPr="000D5608">
        <w:rPr>
          <w:rFonts w:cstheme="minorHAnsi"/>
          <w:sz w:val="24"/>
          <w:szCs w:val="24"/>
        </w:rPr>
        <w:t xml:space="preserve"> ponen en ocasiones en conflicto, que</w:t>
      </w:r>
      <w:r w:rsidR="00E8523B">
        <w:rPr>
          <w:rFonts w:cstheme="minorHAnsi"/>
          <w:sz w:val="24"/>
          <w:szCs w:val="24"/>
        </w:rPr>
        <w:t xml:space="preserve"> a los cerrajeros</w:t>
      </w:r>
      <w:r w:rsidRPr="000D5608">
        <w:rPr>
          <w:rFonts w:cstheme="minorHAnsi"/>
          <w:sz w:val="24"/>
          <w:szCs w:val="24"/>
        </w:rPr>
        <w:t xml:space="preserve"> les llega a costar más de lo que pueden ganar por desarrollar esta profesión, ya que esta problemática </w:t>
      </w:r>
      <w:r w:rsidR="00E8523B">
        <w:rPr>
          <w:rFonts w:cstheme="minorHAnsi"/>
          <w:sz w:val="24"/>
          <w:szCs w:val="24"/>
        </w:rPr>
        <w:t xml:space="preserve">proviene de la </w:t>
      </w:r>
      <w:r w:rsidRPr="000D5608">
        <w:rPr>
          <w:rFonts w:cstheme="minorHAnsi"/>
          <w:sz w:val="24"/>
          <w:szCs w:val="24"/>
        </w:rPr>
        <w:t>incertidumbr</w:t>
      </w:r>
      <w:r w:rsidR="00E8523B">
        <w:rPr>
          <w:rFonts w:cstheme="minorHAnsi"/>
          <w:sz w:val="24"/>
          <w:szCs w:val="24"/>
        </w:rPr>
        <w:t>e que atraviesan al no tener</w:t>
      </w:r>
      <w:r w:rsidRPr="000D5608">
        <w:rPr>
          <w:rFonts w:cstheme="minorHAnsi"/>
          <w:sz w:val="24"/>
          <w:szCs w:val="24"/>
        </w:rPr>
        <w:t xml:space="preserve"> certeza y figura jurídica que los ampare.</w:t>
      </w:r>
    </w:p>
    <w:p w:rsidR="000833AD" w:rsidRPr="000D5608" w:rsidRDefault="000833AD"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 xml:space="preserve">Los cerrajeros son todas las personas que se dedican a la profesión de abrir, reparar y darle mantenimiento a las cerraduras, candados, cerrojos y cilindros, tanto de puertas comunes </w:t>
      </w:r>
      <w:r w:rsidR="0068534F">
        <w:rPr>
          <w:rFonts w:cstheme="minorHAnsi"/>
          <w:sz w:val="24"/>
          <w:szCs w:val="24"/>
        </w:rPr>
        <w:t>como de</w:t>
      </w:r>
      <w:r w:rsidRPr="000D5608">
        <w:rPr>
          <w:rFonts w:cstheme="minorHAnsi"/>
          <w:sz w:val="24"/>
          <w:szCs w:val="24"/>
        </w:rPr>
        <w:t xml:space="preserve"> vehículos.</w:t>
      </w:r>
    </w:p>
    <w:p w:rsidR="000833AD" w:rsidRPr="000D5608" w:rsidRDefault="000833AD" w:rsidP="000833AD">
      <w:pPr>
        <w:tabs>
          <w:tab w:val="center" w:pos="4419"/>
        </w:tabs>
        <w:spacing w:after="0" w:line="360" w:lineRule="auto"/>
        <w:jc w:val="both"/>
        <w:rPr>
          <w:rFonts w:cstheme="minorHAnsi"/>
          <w:sz w:val="24"/>
          <w:szCs w:val="24"/>
        </w:rPr>
      </w:pPr>
    </w:p>
    <w:p w:rsidR="000D5608" w:rsidRDefault="000D5608" w:rsidP="000833AD">
      <w:pPr>
        <w:tabs>
          <w:tab w:val="center" w:pos="4419"/>
        </w:tabs>
        <w:spacing w:after="0" w:line="360" w:lineRule="auto"/>
        <w:jc w:val="both"/>
        <w:rPr>
          <w:rFonts w:cstheme="minorHAnsi"/>
          <w:sz w:val="24"/>
          <w:szCs w:val="24"/>
        </w:rPr>
      </w:pPr>
    </w:p>
    <w:p w:rsidR="000833AD" w:rsidRDefault="00497741" w:rsidP="000833AD">
      <w:pPr>
        <w:tabs>
          <w:tab w:val="center" w:pos="4419"/>
        </w:tabs>
        <w:spacing w:after="0" w:line="360" w:lineRule="auto"/>
        <w:jc w:val="both"/>
        <w:rPr>
          <w:rFonts w:cstheme="minorHAnsi"/>
          <w:sz w:val="24"/>
          <w:szCs w:val="24"/>
        </w:rPr>
      </w:pPr>
      <w:r w:rsidRPr="00497741">
        <w:rPr>
          <w:rFonts w:cstheme="minorHAnsi"/>
          <w:sz w:val="24"/>
          <w:szCs w:val="24"/>
        </w:rPr>
        <w:t>Los cerrajeros de Yucatán venían reclamando desde hace tiempo una regulación de esta profesión que permita dotar de mayor seguridad a los ciudadanos ante la falta de seguridad en la prestación de servicios. Por eso presentamos esta iniciativa que contempla adiciones al Código De La Administración Pública De Yucatán y el Código Penal del Estado de Yucatán en Materia de Certeza jurídica de los cerrajeros. Movimiento Ciudadano respalda estas acciones para garantizar los derechos de todas las personas, por un lado el de los profesionistas de la cerrajería y por otro la seguridad de los bienes de cada propietario.</w:t>
      </w:r>
    </w:p>
    <w:p w:rsidR="00497741" w:rsidRPr="000D5608" w:rsidRDefault="00497741"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 xml:space="preserve">En efecto, para todos los cerrajeros profesionales, esta iniciativa es un paso importante que responde a las demandas de un sector que lucha por establecer un registro real y jurídico </w:t>
      </w:r>
      <w:r w:rsidR="00497741">
        <w:rPr>
          <w:rFonts w:cstheme="minorHAnsi"/>
          <w:sz w:val="24"/>
          <w:szCs w:val="24"/>
        </w:rPr>
        <w:t>de</w:t>
      </w:r>
      <w:r w:rsidRPr="000D5608">
        <w:rPr>
          <w:rFonts w:cstheme="minorHAnsi"/>
          <w:sz w:val="24"/>
          <w:szCs w:val="24"/>
        </w:rPr>
        <w:t xml:space="preserve"> los que se dedican a esta noble actividad en Yucatán.</w:t>
      </w:r>
    </w:p>
    <w:p w:rsidR="000833AD" w:rsidRPr="000D5608" w:rsidRDefault="000833AD"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Así mismo, tomando en cuenta el imparable proceso de cambio en el que se</w:t>
      </w:r>
      <w:r w:rsidR="001C567F">
        <w:rPr>
          <w:rFonts w:cstheme="minorHAnsi"/>
          <w:sz w:val="24"/>
          <w:szCs w:val="24"/>
        </w:rPr>
        <w:t xml:space="preserve"> encuentra la sociedad, donde</w:t>
      </w:r>
      <w:r w:rsidRPr="000D5608">
        <w:rPr>
          <w:rFonts w:cstheme="minorHAnsi"/>
          <w:sz w:val="24"/>
          <w:szCs w:val="24"/>
        </w:rPr>
        <w:t xml:space="preserve"> hay riesgos que se han convertido en una amenaza para la sociedad en general, </w:t>
      </w:r>
      <w:r w:rsidR="00497741">
        <w:rPr>
          <w:rFonts w:cstheme="minorHAnsi"/>
          <w:sz w:val="24"/>
          <w:szCs w:val="24"/>
        </w:rPr>
        <w:t>originando</w:t>
      </w:r>
      <w:r w:rsidRPr="000D5608">
        <w:rPr>
          <w:rFonts w:cstheme="minorHAnsi"/>
          <w:sz w:val="24"/>
          <w:szCs w:val="24"/>
        </w:rPr>
        <w:t xml:space="preserve"> demandas de ciudadanos que se quejan de una inseguridad creciente. Y es que el concepto de seguridad se asocia con la </w:t>
      </w:r>
      <w:r w:rsidR="00497741">
        <w:rPr>
          <w:rFonts w:cstheme="minorHAnsi"/>
          <w:sz w:val="24"/>
          <w:szCs w:val="24"/>
        </w:rPr>
        <w:t>paz</w:t>
      </w:r>
      <w:r w:rsidRPr="000D5608">
        <w:rPr>
          <w:rFonts w:cstheme="minorHAnsi"/>
          <w:sz w:val="24"/>
          <w:szCs w:val="24"/>
        </w:rPr>
        <w:t>,</w:t>
      </w:r>
      <w:r w:rsidR="00497741">
        <w:rPr>
          <w:rFonts w:cstheme="minorHAnsi"/>
          <w:sz w:val="24"/>
          <w:szCs w:val="24"/>
        </w:rPr>
        <w:t xml:space="preserve"> tranquilidad, certeza,</w:t>
      </w:r>
      <w:r w:rsidRPr="000D5608">
        <w:rPr>
          <w:rFonts w:cstheme="minorHAnsi"/>
          <w:sz w:val="24"/>
          <w:szCs w:val="24"/>
        </w:rPr>
        <w:t xml:space="preserve"> la calidad de vida y con la confianza de contar con un entorno previsible y estable.</w:t>
      </w:r>
    </w:p>
    <w:p w:rsidR="000833AD" w:rsidRPr="000D5608" w:rsidRDefault="000833AD"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Por consiguiente la Fracción Parlamentaria de Movimiento Ciudadano proponemos hacer reformas al Código de la Administración Pública De Yucatán para que la Secretaría de Fomento Económico y Trabajo, Diseñe e instrumente los servicios de Cerrajería en el Estado, Creando para ello un Registro Único de Prestadores de Servicios de Cerrajería en coordinación con la Secretaria de Seguridad Pública.</w:t>
      </w:r>
    </w:p>
    <w:p w:rsidR="000833AD" w:rsidRPr="000D5608" w:rsidRDefault="000833AD" w:rsidP="000833AD">
      <w:pPr>
        <w:tabs>
          <w:tab w:val="center" w:pos="4419"/>
        </w:tabs>
        <w:spacing w:after="0" w:line="360" w:lineRule="auto"/>
        <w:jc w:val="both"/>
        <w:rPr>
          <w:rFonts w:cstheme="minorHAnsi"/>
          <w:sz w:val="24"/>
          <w:szCs w:val="24"/>
        </w:rPr>
      </w:pPr>
    </w:p>
    <w:p w:rsidR="00497741" w:rsidRDefault="00497741" w:rsidP="000833AD">
      <w:pPr>
        <w:tabs>
          <w:tab w:val="center" w:pos="4419"/>
        </w:tabs>
        <w:spacing w:after="0" w:line="360" w:lineRule="auto"/>
        <w:jc w:val="both"/>
        <w:rPr>
          <w:rFonts w:cstheme="minorHAnsi"/>
          <w:sz w:val="24"/>
          <w:szCs w:val="24"/>
        </w:rPr>
      </w:pPr>
    </w:p>
    <w:p w:rsidR="00497741" w:rsidRDefault="00497741" w:rsidP="000833AD">
      <w:pPr>
        <w:tabs>
          <w:tab w:val="center" w:pos="4419"/>
        </w:tabs>
        <w:spacing w:after="0" w:line="360" w:lineRule="auto"/>
        <w:jc w:val="both"/>
        <w:rPr>
          <w:rFonts w:cstheme="minorHAnsi"/>
          <w:sz w:val="24"/>
          <w:szCs w:val="24"/>
        </w:rPr>
      </w:pPr>
    </w:p>
    <w:p w:rsidR="00497741" w:rsidRDefault="00497741"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 xml:space="preserve">Esto con el fin de poner un mayor orden y rastreo de quienes se dedican a la profesión de cerrajeros, para que de igual manera se tenga una seguridad jurídica dirigida al  ciudadano, dándole la tranquilidad que no será </w:t>
      </w:r>
      <w:r w:rsidR="001C567F">
        <w:rPr>
          <w:rFonts w:cstheme="minorHAnsi"/>
          <w:sz w:val="24"/>
          <w:szCs w:val="24"/>
        </w:rPr>
        <w:t>indiciado</w:t>
      </w:r>
      <w:r w:rsidRPr="000D5608">
        <w:rPr>
          <w:rFonts w:cstheme="minorHAnsi"/>
          <w:sz w:val="24"/>
          <w:szCs w:val="24"/>
        </w:rPr>
        <w:t xml:space="preserve"> al solicitar un servicio.</w:t>
      </w:r>
    </w:p>
    <w:p w:rsidR="000833AD" w:rsidRPr="000D5608" w:rsidRDefault="000833AD" w:rsidP="000833AD">
      <w:pPr>
        <w:tabs>
          <w:tab w:val="center" w:pos="4419"/>
        </w:tabs>
        <w:spacing w:after="0" w:line="360" w:lineRule="auto"/>
        <w:jc w:val="both"/>
        <w:rPr>
          <w:rFonts w:cstheme="minorHAnsi"/>
          <w:sz w:val="24"/>
          <w:szCs w:val="24"/>
        </w:rPr>
      </w:pPr>
    </w:p>
    <w:p w:rsidR="000D5608" w:rsidRDefault="00497741" w:rsidP="000833AD">
      <w:pPr>
        <w:tabs>
          <w:tab w:val="center" w:pos="4419"/>
        </w:tabs>
        <w:spacing w:after="0" w:line="360" w:lineRule="auto"/>
        <w:jc w:val="both"/>
        <w:rPr>
          <w:rFonts w:cstheme="minorHAnsi"/>
          <w:sz w:val="24"/>
          <w:szCs w:val="24"/>
        </w:rPr>
      </w:pPr>
      <w:r>
        <w:rPr>
          <w:rFonts w:cstheme="minorHAnsi"/>
          <w:sz w:val="24"/>
          <w:szCs w:val="24"/>
        </w:rPr>
        <w:t>Los cerrajeros en muchas ocasiones pueden</w:t>
      </w:r>
      <w:r w:rsidRPr="000D5608">
        <w:rPr>
          <w:rFonts w:cstheme="minorHAnsi"/>
          <w:sz w:val="24"/>
          <w:szCs w:val="24"/>
        </w:rPr>
        <w:t xml:space="preserve"> ser procesados, pasan en prisión preventiva un determinado tiempo en horas, lo cual les causa perjuicios económicos y personales.</w:t>
      </w:r>
      <w:r>
        <w:rPr>
          <w:rFonts w:cstheme="minorHAnsi"/>
          <w:sz w:val="24"/>
          <w:szCs w:val="24"/>
        </w:rPr>
        <w:t xml:space="preserve"> </w:t>
      </w:r>
      <w:r w:rsidR="000D5608" w:rsidRPr="000D5608">
        <w:rPr>
          <w:rFonts w:cstheme="minorHAnsi"/>
          <w:sz w:val="24"/>
          <w:szCs w:val="24"/>
        </w:rPr>
        <w:t xml:space="preserve">De igual forma con esta iniciativa se busca evitar que los profesionistas de la cerrajería sea conviertan en cómplices involuntarios de delitos de robo o intrusismo a propiedades privadas, así mismo evitar que sean procesados de forma arbitraria ya que solo prestan un servicio y no son delincuentes. </w:t>
      </w:r>
    </w:p>
    <w:p w:rsidR="00497741" w:rsidRPr="000D5608" w:rsidRDefault="00497741"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 xml:space="preserve">Conviene subrayar que de acuerdo con declaraciones de ciudadanos que prestan el servicio de cerrajería, han sufrido de atropellos por parte de autoridades, que sin previa indagatoria los inculpan de acciones que de buena fe prestan como parte </w:t>
      </w:r>
      <w:r w:rsidR="00497741">
        <w:rPr>
          <w:rFonts w:cstheme="minorHAnsi"/>
          <w:sz w:val="24"/>
          <w:szCs w:val="24"/>
        </w:rPr>
        <w:t>por</w:t>
      </w:r>
      <w:r w:rsidRPr="000D5608">
        <w:rPr>
          <w:rFonts w:cstheme="minorHAnsi"/>
          <w:sz w:val="24"/>
          <w:szCs w:val="24"/>
        </w:rPr>
        <w:t xml:space="preserve"> sus actividades profesionales sin saber propiamente</w:t>
      </w:r>
      <w:r w:rsidR="00497741">
        <w:rPr>
          <w:rFonts w:cstheme="minorHAnsi"/>
          <w:sz w:val="24"/>
          <w:szCs w:val="24"/>
        </w:rPr>
        <w:t xml:space="preserve"> que</w:t>
      </w:r>
      <w:r w:rsidRPr="000D5608">
        <w:rPr>
          <w:rFonts w:cstheme="minorHAnsi"/>
          <w:sz w:val="24"/>
          <w:szCs w:val="24"/>
        </w:rPr>
        <w:t xml:space="preserve"> lo que </w:t>
      </w:r>
      <w:r w:rsidR="00497741">
        <w:rPr>
          <w:rFonts w:cstheme="minorHAnsi"/>
          <w:sz w:val="24"/>
          <w:szCs w:val="24"/>
        </w:rPr>
        <w:t>están haciendo es un delito</w:t>
      </w:r>
      <w:r w:rsidRPr="000D5608">
        <w:rPr>
          <w:rFonts w:cstheme="minorHAnsi"/>
          <w:sz w:val="24"/>
          <w:szCs w:val="24"/>
        </w:rPr>
        <w:t>.</w:t>
      </w:r>
    </w:p>
    <w:p w:rsidR="000833AD" w:rsidRPr="000D5608" w:rsidRDefault="000833AD"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Por su parte la Secretaría de Seguridad Pública tendrá a su cargo la creació</w:t>
      </w:r>
      <w:r w:rsidR="00B76CA7">
        <w:rPr>
          <w:rFonts w:cstheme="minorHAnsi"/>
          <w:sz w:val="24"/>
          <w:szCs w:val="24"/>
        </w:rPr>
        <w:t xml:space="preserve">n y operación de un Registro de Monitoreo de la Actividad Profesional </w:t>
      </w:r>
      <w:r w:rsidRPr="000D5608">
        <w:rPr>
          <w:rFonts w:cstheme="minorHAnsi"/>
          <w:sz w:val="24"/>
          <w:szCs w:val="24"/>
        </w:rPr>
        <w:t>de Cerrajeros en el cual deberán notificar el tipo de apertura realizado, la vivienda y/o matrícula del vehículo donde se ha efectuado el servicio, el propietario de la vivienda o el vehículo con identificación oficial vigente</w:t>
      </w:r>
      <w:r w:rsidR="00F70972">
        <w:rPr>
          <w:rFonts w:cstheme="minorHAnsi"/>
          <w:sz w:val="24"/>
          <w:szCs w:val="24"/>
        </w:rPr>
        <w:t>,</w:t>
      </w:r>
      <w:r w:rsidRPr="000D5608">
        <w:rPr>
          <w:rFonts w:cstheme="minorHAnsi"/>
          <w:sz w:val="24"/>
          <w:szCs w:val="24"/>
        </w:rPr>
        <w:t xml:space="preserve"> la fecha y hora en que se ha realizado dicho servicio</w:t>
      </w:r>
      <w:r w:rsidR="00F70972">
        <w:rPr>
          <w:rFonts w:cstheme="minorHAnsi"/>
          <w:sz w:val="24"/>
          <w:szCs w:val="24"/>
        </w:rPr>
        <w:t>,</w:t>
      </w:r>
      <w:r w:rsidRPr="000D5608">
        <w:rPr>
          <w:rFonts w:cstheme="minorHAnsi"/>
          <w:sz w:val="24"/>
          <w:szCs w:val="24"/>
        </w:rPr>
        <w:t xml:space="preserve"> con ello pretendemos generar una cultura de colaboración para alcanzar una seguridad real y efectiva en el estado.</w:t>
      </w:r>
    </w:p>
    <w:p w:rsidR="000833AD" w:rsidRPr="000D5608" w:rsidRDefault="000833AD"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 xml:space="preserve">De igual manera proponemos la creación de un CAPÍTULO VIII BIS en el Código Penal del Estado de Yucatán denominado “Portación ilegal de Instrumentos Destinados para la Profesión de Cerrajero” en la cual consideramos sea castigado al  </w:t>
      </w:r>
      <w:r w:rsidR="0057040B">
        <w:rPr>
          <w:rFonts w:cstheme="minorHAnsi"/>
          <w:sz w:val="24"/>
          <w:szCs w:val="24"/>
        </w:rPr>
        <w:t>que porte o posea, sin un fin lí</w:t>
      </w:r>
      <w:r w:rsidRPr="000D5608">
        <w:rPr>
          <w:rFonts w:cstheme="minorHAnsi"/>
          <w:sz w:val="24"/>
          <w:szCs w:val="24"/>
        </w:rPr>
        <w:t>cito ganzúas, chorlas, llaves maestras o limadas o cualquier otro instrumento u objeto físico, scanner o cualquier otro dispositivo electrónico, destinado para abrir, bloquear, inhibir o forzar cerraduras o dispositivos de seguridad, con excepción de los que cuenten con el Registro Único de Prestadores</w:t>
      </w:r>
      <w:bookmarkStart w:id="0" w:name="_GoBack"/>
      <w:bookmarkEnd w:id="0"/>
      <w:r w:rsidRPr="000D5608">
        <w:rPr>
          <w:rFonts w:cstheme="minorHAnsi"/>
          <w:sz w:val="24"/>
          <w:szCs w:val="24"/>
        </w:rPr>
        <w:t xml:space="preserve"> de Servicios de Cerrajería, se le impondrá una pena de</w:t>
      </w:r>
      <w:r w:rsidR="0068534F">
        <w:rPr>
          <w:rFonts w:cstheme="minorHAnsi"/>
          <w:sz w:val="24"/>
          <w:szCs w:val="24"/>
        </w:rPr>
        <w:t xml:space="preserve"> </w:t>
      </w:r>
      <w:r w:rsidRPr="000D5608">
        <w:rPr>
          <w:rFonts w:cstheme="minorHAnsi"/>
          <w:sz w:val="24"/>
          <w:szCs w:val="24"/>
        </w:rPr>
        <w:t>prisión de uno a cinco años y hasta una multa de 500 UMAS y se le decomisará el objeto o instrumento.</w:t>
      </w:r>
    </w:p>
    <w:p w:rsidR="000833AD" w:rsidRPr="000D5608" w:rsidRDefault="000833AD"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Proponemos la obligación de que todo Cerrajero que al presentar su servicio de aviso a la autoridad competente de cualquier indicio de un posible hecho delictivo.</w:t>
      </w:r>
    </w:p>
    <w:p w:rsidR="000833AD" w:rsidRPr="000D5608" w:rsidRDefault="000833AD" w:rsidP="000833AD">
      <w:pPr>
        <w:tabs>
          <w:tab w:val="center" w:pos="4419"/>
        </w:tabs>
        <w:spacing w:after="0" w:line="360" w:lineRule="auto"/>
        <w:jc w:val="both"/>
        <w:rPr>
          <w:rFonts w:cstheme="minorHAnsi"/>
          <w:sz w:val="24"/>
          <w:szCs w:val="24"/>
        </w:rPr>
      </w:pPr>
    </w:p>
    <w:p w:rsidR="000833AD" w:rsidRPr="000D5608" w:rsidRDefault="000833AD" w:rsidP="000833AD">
      <w:pPr>
        <w:tabs>
          <w:tab w:val="center" w:pos="4419"/>
        </w:tabs>
        <w:spacing w:after="0" w:line="360" w:lineRule="auto"/>
        <w:jc w:val="both"/>
        <w:rPr>
          <w:rFonts w:cstheme="minorHAnsi"/>
          <w:sz w:val="24"/>
          <w:szCs w:val="24"/>
        </w:rPr>
      </w:pPr>
      <w:r w:rsidRPr="000D5608">
        <w:rPr>
          <w:rFonts w:cstheme="minorHAnsi"/>
          <w:sz w:val="24"/>
          <w:szCs w:val="24"/>
        </w:rPr>
        <w:t>Esta sería una gran realidad y compromiso cumplido con los cerrajeros del estado, para que se puedan desarrollar en el servicio de su profesión, sabiendo que ya cuentan con las armas legales que los ampare ante un posible confl</w:t>
      </w:r>
      <w:r w:rsidR="00F70972">
        <w:rPr>
          <w:rFonts w:cstheme="minorHAnsi"/>
          <w:sz w:val="24"/>
          <w:szCs w:val="24"/>
        </w:rPr>
        <w:t>icto jurídico</w:t>
      </w:r>
      <w:r w:rsidRPr="000D5608">
        <w:rPr>
          <w:rFonts w:cstheme="minorHAnsi"/>
          <w:sz w:val="24"/>
          <w:szCs w:val="24"/>
        </w:rPr>
        <w:t xml:space="preserve"> y sobre todo ser reconocidos con la figura legal como tal, que históricamente sería la primera en todo el país, ya que hoy por hoy no existen ni una normatividad al respecto, siendo de esta manera Yucatán referente de avances en esta materia; una verdadera lucha que hoy se ve consumada con esta iniciativa, Movimiento Ciudadano los respalda y aquí estaremos en pie de lucha con ellos.</w:t>
      </w:r>
    </w:p>
    <w:p w:rsidR="000833AD" w:rsidRDefault="000833AD"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Default="00B76CA7" w:rsidP="000833AD">
      <w:pPr>
        <w:tabs>
          <w:tab w:val="center" w:pos="4419"/>
        </w:tabs>
        <w:spacing w:after="0" w:line="360" w:lineRule="auto"/>
        <w:jc w:val="both"/>
        <w:rPr>
          <w:rFonts w:cstheme="minorHAnsi"/>
          <w:sz w:val="24"/>
          <w:szCs w:val="24"/>
        </w:rPr>
      </w:pPr>
    </w:p>
    <w:p w:rsidR="00B76CA7" w:rsidRPr="000D5608" w:rsidRDefault="00B76CA7" w:rsidP="000833AD">
      <w:pPr>
        <w:tabs>
          <w:tab w:val="center" w:pos="4419"/>
        </w:tabs>
        <w:spacing w:after="0" w:line="360" w:lineRule="auto"/>
        <w:jc w:val="both"/>
        <w:rPr>
          <w:rFonts w:cstheme="minorHAnsi"/>
          <w:sz w:val="24"/>
          <w:szCs w:val="24"/>
        </w:rPr>
      </w:pPr>
    </w:p>
    <w:p w:rsidR="00104FEE" w:rsidRPr="000D5608" w:rsidRDefault="00527D04" w:rsidP="000E0143">
      <w:pPr>
        <w:spacing w:line="360" w:lineRule="auto"/>
        <w:jc w:val="both"/>
        <w:rPr>
          <w:rFonts w:cstheme="minorHAnsi"/>
          <w:sz w:val="24"/>
          <w:szCs w:val="24"/>
        </w:rPr>
      </w:pPr>
      <w:r w:rsidRPr="000D5608">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3C2579" w:rsidRPr="003C2579">
        <w:rPr>
          <w:rFonts w:cstheme="minorHAnsi"/>
          <w:sz w:val="24"/>
          <w:szCs w:val="24"/>
        </w:rPr>
        <w:t>INICIATIVA DE DECRETO POR EL QUE SE ADICIONAN DIVERSAS DISPOSICIONES DEL CÓDIGO DE LA ADMINISTRACIÓN PÚBLICA DE YUCATÁN Y EL CÓDIGO PENAL DEL ESTADO DE YUCATÁN</w:t>
      </w:r>
      <w:r w:rsidR="00C450BE" w:rsidRPr="000D5608">
        <w:rPr>
          <w:rFonts w:cstheme="minorHAnsi"/>
          <w:sz w:val="24"/>
          <w:szCs w:val="24"/>
        </w:rPr>
        <w:t>,</w:t>
      </w:r>
      <w:r w:rsidRPr="000D5608">
        <w:rPr>
          <w:rFonts w:cstheme="minorHAnsi"/>
          <w:sz w:val="24"/>
          <w:szCs w:val="24"/>
        </w:rPr>
        <w:t xml:space="preserve"> de conformidad con el siguiente proyecto de:</w:t>
      </w:r>
    </w:p>
    <w:p w:rsidR="00477DB2" w:rsidRDefault="003C2579" w:rsidP="00B76CA7">
      <w:pPr>
        <w:tabs>
          <w:tab w:val="left" w:pos="6848"/>
        </w:tabs>
        <w:spacing w:after="0" w:line="360" w:lineRule="auto"/>
        <w:rPr>
          <w:rFonts w:eastAsia="Arial Unicode MS" w:cstheme="minorHAnsi"/>
          <w:b/>
          <w:bCs/>
          <w:sz w:val="24"/>
          <w:szCs w:val="24"/>
        </w:rPr>
      </w:pPr>
      <w:r>
        <w:rPr>
          <w:rFonts w:eastAsia="Arial Unicode MS" w:cstheme="minorHAnsi"/>
          <w:b/>
          <w:bCs/>
          <w:sz w:val="24"/>
          <w:szCs w:val="24"/>
        </w:rPr>
        <w:tab/>
      </w:r>
    </w:p>
    <w:p w:rsidR="00477DB2" w:rsidRDefault="00477DB2" w:rsidP="00B1463E">
      <w:pPr>
        <w:spacing w:after="0" w:line="360" w:lineRule="auto"/>
        <w:jc w:val="center"/>
        <w:rPr>
          <w:rFonts w:eastAsia="Arial Unicode MS" w:cstheme="minorHAnsi"/>
          <w:b/>
          <w:bCs/>
          <w:sz w:val="24"/>
          <w:szCs w:val="24"/>
        </w:rPr>
      </w:pPr>
    </w:p>
    <w:p w:rsidR="00E91DA7" w:rsidRPr="000D5608" w:rsidRDefault="00527D04" w:rsidP="00B1463E">
      <w:pPr>
        <w:spacing w:after="0" w:line="360" w:lineRule="auto"/>
        <w:jc w:val="center"/>
        <w:rPr>
          <w:rFonts w:eastAsia="Arial Unicode MS" w:cstheme="minorHAnsi"/>
          <w:b/>
          <w:bCs/>
          <w:sz w:val="24"/>
          <w:szCs w:val="24"/>
        </w:rPr>
      </w:pPr>
      <w:r w:rsidRPr="000D5608">
        <w:rPr>
          <w:rFonts w:eastAsia="Arial Unicode MS" w:cstheme="minorHAnsi"/>
          <w:b/>
          <w:bCs/>
          <w:sz w:val="24"/>
          <w:szCs w:val="24"/>
        </w:rPr>
        <w:t>DECRETO</w:t>
      </w:r>
    </w:p>
    <w:p w:rsidR="000833AD" w:rsidRPr="000D5608" w:rsidRDefault="000833AD" w:rsidP="004F00DD">
      <w:pPr>
        <w:spacing w:after="0" w:line="360" w:lineRule="auto"/>
        <w:jc w:val="both"/>
        <w:rPr>
          <w:rFonts w:eastAsia="Arial Unicode MS" w:cstheme="minorHAnsi"/>
          <w:b/>
          <w:bCs/>
          <w:sz w:val="24"/>
          <w:szCs w:val="24"/>
        </w:rPr>
      </w:pPr>
    </w:p>
    <w:p w:rsidR="006E0DDA" w:rsidRDefault="006A2328" w:rsidP="000833AD">
      <w:pPr>
        <w:spacing w:after="0" w:line="360" w:lineRule="auto"/>
        <w:jc w:val="both"/>
        <w:rPr>
          <w:rFonts w:eastAsia="Arial Unicode MS" w:cstheme="minorHAnsi"/>
          <w:b/>
          <w:bCs/>
          <w:sz w:val="24"/>
          <w:szCs w:val="24"/>
        </w:rPr>
      </w:pPr>
      <w:r w:rsidRPr="000D5608">
        <w:rPr>
          <w:rFonts w:eastAsia="Arial Unicode MS" w:cstheme="minorHAnsi"/>
          <w:b/>
          <w:bCs/>
          <w:sz w:val="24"/>
          <w:szCs w:val="24"/>
        </w:rPr>
        <w:t xml:space="preserve">ARTÍCULO </w:t>
      </w:r>
      <w:r w:rsidR="004D5F35">
        <w:rPr>
          <w:rFonts w:eastAsia="Arial Unicode MS" w:cstheme="minorHAnsi"/>
          <w:b/>
          <w:bCs/>
          <w:sz w:val="24"/>
          <w:szCs w:val="24"/>
        </w:rPr>
        <w:t>PRIMERO</w:t>
      </w:r>
      <w:r w:rsidRPr="000D5608">
        <w:rPr>
          <w:rFonts w:eastAsia="Arial Unicode MS" w:cstheme="minorHAnsi"/>
          <w:b/>
          <w:bCs/>
          <w:sz w:val="24"/>
          <w:szCs w:val="24"/>
        </w:rPr>
        <w:t xml:space="preserve">: </w:t>
      </w:r>
      <w:r w:rsidR="006E0DDA">
        <w:rPr>
          <w:rFonts w:eastAsia="Arial Unicode MS" w:cstheme="minorHAnsi"/>
          <w:b/>
          <w:bCs/>
          <w:sz w:val="24"/>
          <w:szCs w:val="24"/>
        </w:rPr>
        <w:t>SE ADICIONA</w:t>
      </w:r>
      <w:r w:rsidR="00F70972">
        <w:rPr>
          <w:rFonts w:eastAsia="Arial Unicode MS" w:cstheme="minorHAnsi"/>
          <w:b/>
          <w:bCs/>
          <w:sz w:val="24"/>
          <w:szCs w:val="24"/>
        </w:rPr>
        <w:t>N</w:t>
      </w:r>
      <w:r w:rsidR="006E0DDA">
        <w:rPr>
          <w:rFonts w:eastAsia="Arial Unicode MS" w:cstheme="minorHAnsi"/>
          <w:b/>
          <w:bCs/>
          <w:sz w:val="24"/>
          <w:szCs w:val="24"/>
        </w:rPr>
        <w:t xml:space="preserve">: LAS FRACCIONES XXI Y </w:t>
      </w:r>
      <w:r w:rsidR="004978F0">
        <w:rPr>
          <w:rFonts w:eastAsia="Arial Unicode MS" w:cstheme="minorHAnsi"/>
          <w:b/>
          <w:bCs/>
          <w:sz w:val="24"/>
          <w:szCs w:val="24"/>
        </w:rPr>
        <w:t>X</w:t>
      </w:r>
      <w:r w:rsidR="006E0DDA">
        <w:rPr>
          <w:rFonts w:eastAsia="Arial Unicode MS" w:cstheme="minorHAnsi"/>
          <w:b/>
          <w:bCs/>
          <w:sz w:val="24"/>
          <w:szCs w:val="24"/>
        </w:rPr>
        <w:t>XII DEL ARTÍCULO 40 Y LAS FRACCIONES XL Y XLI DEL ARTÍCULO 42</w:t>
      </w:r>
      <w:r w:rsidR="00EB22A0">
        <w:rPr>
          <w:rFonts w:eastAsia="Arial Unicode MS" w:cstheme="minorHAnsi"/>
          <w:b/>
          <w:bCs/>
          <w:sz w:val="24"/>
          <w:szCs w:val="24"/>
        </w:rPr>
        <w:t xml:space="preserve"> TODOS DEL </w:t>
      </w:r>
      <w:r w:rsidR="00EB22A0" w:rsidRPr="00EB22A0">
        <w:rPr>
          <w:rFonts w:eastAsia="Arial Unicode MS" w:cstheme="minorHAnsi"/>
          <w:b/>
          <w:bCs/>
          <w:sz w:val="24"/>
          <w:szCs w:val="24"/>
        </w:rPr>
        <w:t>CÓDIGO DE LA ADMINISTRACIÓN PÚBLICA DE YUCATÁN</w:t>
      </w:r>
      <w:r w:rsidR="006E0DDA">
        <w:rPr>
          <w:rFonts w:eastAsia="Arial Unicode MS" w:cstheme="minorHAnsi"/>
          <w:b/>
          <w:bCs/>
          <w:sz w:val="24"/>
          <w:szCs w:val="24"/>
        </w:rPr>
        <w:t xml:space="preserve">. </w:t>
      </w:r>
    </w:p>
    <w:p w:rsidR="00280DBF" w:rsidRPr="00477DB2" w:rsidRDefault="00280DBF" w:rsidP="00280DBF">
      <w:pPr>
        <w:spacing w:after="0" w:line="360" w:lineRule="auto"/>
        <w:jc w:val="center"/>
        <w:rPr>
          <w:rFonts w:eastAsia="Arial Unicode MS" w:cstheme="minorHAnsi"/>
          <w:b/>
          <w:bCs/>
          <w:sz w:val="24"/>
          <w:szCs w:val="24"/>
        </w:rPr>
      </w:pPr>
      <w:r w:rsidRPr="00477DB2">
        <w:rPr>
          <w:rFonts w:eastAsia="Arial Unicode MS" w:cstheme="minorHAnsi"/>
          <w:b/>
          <w:bCs/>
          <w:sz w:val="24"/>
          <w:szCs w:val="24"/>
        </w:rPr>
        <w:t>CAPÍTULO XI</w:t>
      </w:r>
    </w:p>
    <w:p w:rsidR="00280DBF" w:rsidRPr="00477DB2" w:rsidRDefault="00280DBF" w:rsidP="00280DBF">
      <w:pPr>
        <w:spacing w:after="0" w:line="360" w:lineRule="auto"/>
        <w:jc w:val="center"/>
        <w:rPr>
          <w:rFonts w:eastAsia="Arial Unicode MS" w:cstheme="minorHAnsi"/>
          <w:b/>
          <w:bCs/>
          <w:sz w:val="24"/>
          <w:szCs w:val="24"/>
        </w:rPr>
      </w:pPr>
      <w:r w:rsidRPr="00477DB2">
        <w:rPr>
          <w:rFonts w:eastAsia="Arial Unicode MS" w:cstheme="minorHAnsi"/>
          <w:b/>
          <w:bCs/>
          <w:sz w:val="24"/>
          <w:szCs w:val="24"/>
        </w:rPr>
        <w:t>De la Secretaría de Seguridad Pública</w:t>
      </w:r>
    </w:p>
    <w:p w:rsidR="00280DBF" w:rsidRPr="00477DB2" w:rsidRDefault="00280DBF" w:rsidP="00280DBF">
      <w:pPr>
        <w:spacing w:after="0" w:line="360" w:lineRule="auto"/>
        <w:jc w:val="both"/>
        <w:rPr>
          <w:rFonts w:eastAsia="Arial Unicode MS" w:cstheme="minorHAnsi"/>
          <w:b/>
          <w:bCs/>
          <w:sz w:val="24"/>
          <w:szCs w:val="24"/>
        </w:rPr>
      </w:pPr>
    </w:p>
    <w:p w:rsidR="00280DBF" w:rsidRPr="00477DB2" w:rsidRDefault="00280DBF" w:rsidP="00280DBF">
      <w:pPr>
        <w:spacing w:after="0" w:line="360" w:lineRule="auto"/>
        <w:jc w:val="both"/>
        <w:rPr>
          <w:rFonts w:eastAsia="Arial Unicode MS" w:cstheme="minorHAnsi"/>
          <w:bCs/>
          <w:sz w:val="24"/>
          <w:szCs w:val="24"/>
        </w:rPr>
      </w:pPr>
      <w:r w:rsidRPr="00477DB2">
        <w:rPr>
          <w:rFonts w:eastAsia="Arial Unicode MS" w:cstheme="minorHAnsi"/>
          <w:b/>
          <w:bCs/>
          <w:sz w:val="24"/>
          <w:szCs w:val="24"/>
        </w:rPr>
        <w:t xml:space="preserve">Artículo 40.- </w:t>
      </w:r>
      <w:r w:rsidRPr="00477DB2">
        <w:rPr>
          <w:rFonts w:eastAsia="Arial Unicode MS" w:cstheme="minorHAnsi"/>
          <w:bCs/>
          <w:sz w:val="24"/>
          <w:szCs w:val="24"/>
        </w:rPr>
        <w:t xml:space="preserve">A la Secretaría de Seguridad Pública le corresponde el despacho de los siguientes asuntos: </w:t>
      </w:r>
    </w:p>
    <w:p w:rsidR="00280DBF" w:rsidRDefault="00280DBF" w:rsidP="00280DBF">
      <w:pPr>
        <w:spacing w:after="0" w:line="360" w:lineRule="auto"/>
        <w:jc w:val="both"/>
        <w:rPr>
          <w:rFonts w:eastAsia="Arial Unicode MS" w:cstheme="minorHAnsi"/>
          <w:bCs/>
          <w:sz w:val="24"/>
          <w:szCs w:val="24"/>
        </w:rPr>
      </w:pPr>
    </w:p>
    <w:p w:rsidR="00280DBF" w:rsidRPr="00477DB2" w:rsidRDefault="00280DBF" w:rsidP="00280DBF">
      <w:pPr>
        <w:spacing w:after="0" w:line="360" w:lineRule="auto"/>
        <w:jc w:val="both"/>
        <w:rPr>
          <w:rFonts w:eastAsia="Arial Unicode MS" w:cstheme="minorHAnsi"/>
          <w:b/>
          <w:bCs/>
          <w:sz w:val="24"/>
          <w:szCs w:val="24"/>
        </w:rPr>
      </w:pPr>
      <w:r w:rsidRPr="00477DB2">
        <w:rPr>
          <w:rFonts w:eastAsia="Arial Unicode MS" w:cstheme="minorHAnsi"/>
          <w:b/>
          <w:bCs/>
          <w:sz w:val="24"/>
          <w:szCs w:val="24"/>
        </w:rPr>
        <w:t>I.- al XX. …</w:t>
      </w:r>
    </w:p>
    <w:p w:rsidR="00280DBF" w:rsidRPr="00477DB2" w:rsidRDefault="00280DBF" w:rsidP="00280DBF">
      <w:pPr>
        <w:spacing w:after="0" w:line="360" w:lineRule="auto"/>
        <w:jc w:val="both"/>
        <w:rPr>
          <w:rFonts w:eastAsia="Arial Unicode MS" w:cstheme="minorHAnsi"/>
          <w:b/>
          <w:bCs/>
          <w:sz w:val="24"/>
          <w:szCs w:val="24"/>
        </w:rPr>
      </w:pPr>
    </w:p>
    <w:p w:rsidR="00280DBF" w:rsidRPr="00477DB2" w:rsidRDefault="00280DBF" w:rsidP="00280DBF">
      <w:pPr>
        <w:spacing w:after="0" w:line="360" w:lineRule="auto"/>
        <w:jc w:val="both"/>
        <w:rPr>
          <w:rFonts w:eastAsia="Arial Unicode MS" w:cstheme="minorHAnsi"/>
          <w:bCs/>
          <w:sz w:val="24"/>
          <w:szCs w:val="24"/>
        </w:rPr>
      </w:pPr>
      <w:r w:rsidRPr="00477DB2">
        <w:rPr>
          <w:rFonts w:eastAsia="Arial Unicode MS" w:cstheme="minorHAnsi"/>
          <w:b/>
          <w:bCs/>
          <w:sz w:val="24"/>
          <w:szCs w:val="24"/>
        </w:rPr>
        <w:t>XXI.-</w:t>
      </w:r>
      <w:r w:rsidRPr="00477DB2">
        <w:rPr>
          <w:rFonts w:eastAsia="Arial Unicode MS" w:cstheme="minorHAnsi"/>
          <w:bCs/>
          <w:sz w:val="24"/>
          <w:szCs w:val="24"/>
        </w:rPr>
        <w:t xml:space="preserve"> Coordinarse con la Secretaria de Fomento Económico y Trabajo para el establecimiento de normas, sistemas y procedimientos para el cumplimiento eficaz del Servicio de Cerrajería en el Estado;</w:t>
      </w:r>
      <w:r>
        <w:rPr>
          <w:rFonts w:eastAsia="Arial Unicode MS" w:cstheme="minorHAnsi"/>
          <w:bCs/>
          <w:sz w:val="24"/>
          <w:szCs w:val="24"/>
        </w:rPr>
        <w:t xml:space="preserve"> y</w:t>
      </w:r>
    </w:p>
    <w:p w:rsidR="00280DBF" w:rsidRDefault="00280DBF" w:rsidP="00280DBF">
      <w:pPr>
        <w:spacing w:after="0" w:line="360" w:lineRule="auto"/>
        <w:jc w:val="both"/>
        <w:rPr>
          <w:rFonts w:eastAsia="Arial Unicode MS" w:cstheme="minorHAnsi"/>
          <w:bCs/>
          <w:sz w:val="24"/>
          <w:szCs w:val="24"/>
        </w:rPr>
      </w:pPr>
    </w:p>
    <w:p w:rsidR="00280DBF" w:rsidRPr="00477DB2" w:rsidRDefault="00280DBF" w:rsidP="00280DBF">
      <w:pPr>
        <w:spacing w:after="0" w:line="360" w:lineRule="auto"/>
        <w:jc w:val="both"/>
        <w:rPr>
          <w:rFonts w:eastAsia="Arial Unicode MS" w:cstheme="minorHAnsi"/>
          <w:bCs/>
          <w:sz w:val="24"/>
          <w:szCs w:val="24"/>
        </w:rPr>
      </w:pPr>
      <w:r w:rsidRPr="00477DB2">
        <w:rPr>
          <w:rFonts w:eastAsia="Arial Unicode MS" w:cstheme="minorHAnsi"/>
          <w:b/>
          <w:bCs/>
          <w:sz w:val="24"/>
          <w:szCs w:val="24"/>
        </w:rPr>
        <w:t>XXII.-</w:t>
      </w:r>
      <w:r w:rsidRPr="00477DB2">
        <w:rPr>
          <w:rFonts w:eastAsia="Arial Unicode MS" w:cstheme="minorHAnsi"/>
          <w:bCs/>
          <w:sz w:val="24"/>
          <w:szCs w:val="24"/>
        </w:rPr>
        <w:t xml:space="preserve"> Crear, operar y mantener actualizado el </w:t>
      </w:r>
      <w:r w:rsidR="00B76CA7" w:rsidRPr="00B76CA7">
        <w:rPr>
          <w:rFonts w:eastAsia="Arial Unicode MS" w:cstheme="minorHAnsi"/>
          <w:bCs/>
          <w:sz w:val="24"/>
          <w:szCs w:val="24"/>
        </w:rPr>
        <w:t>Registro de Monitoreo de la Actividad Profesional de Cerrajeros</w:t>
      </w:r>
      <w:r w:rsidRPr="00477DB2">
        <w:rPr>
          <w:rFonts w:eastAsia="Arial Unicode MS" w:cstheme="minorHAnsi"/>
          <w:bCs/>
          <w:sz w:val="24"/>
          <w:szCs w:val="24"/>
        </w:rPr>
        <w:t xml:space="preserve"> en el cual deberán notificar el tipo de apertura realizado, la vivienda y/o matrícula del vehículo donde se ha efectuado el servicio, el propietario de la vivienda o el vehículo el cual deberá contar con una identificación oficial vigente, la fecha y la hora en que se ha realizado dicho servicio.</w:t>
      </w:r>
    </w:p>
    <w:p w:rsidR="00280DBF" w:rsidRDefault="00280DBF" w:rsidP="000833AD">
      <w:pPr>
        <w:spacing w:after="0" w:line="360" w:lineRule="auto"/>
        <w:jc w:val="both"/>
        <w:rPr>
          <w:rFonts w:eastAsia="Arial Unicode MS" w:cstheme="minorHAnsi"/>
          <w:b/>
          <w:bCs/>
          <w:sz w:val="24"/>
          <w:szCs w:val="24"/>
        </w:rPr>
      </w:pPr>
    </w:p>
    <w:p w:rsidR="00280DBF" w:rsidRPr="000D5608" w:rsidRDefault="00280DBF" w:rsidP="000833AD">
      <w:pPr>
        <w:spacing w:after="0" w:line="360" w:lineRule="auto"/>
        <w:jc w:val="both"/>
        <w:rPr>
          <w:rFonts w:cstheme="minorHAnsi"/>
          <w:b/>
          <w:sz w:val="24"/>
          <w:szCs w:val="24"/>
        </w:rPr>
      </w:pPr>
    </w:p>
    <w:p w:rsidR="00477DB2" w:rsidRPr="00477DB2" w:rsidRDefault="00477DB2" w:rsidP="00477DB2">
      <w:pPr>
        <w:spacing w:after="0" w:line="360" w:lineRule="auto"/>
        <w:jc w:val="center"/>
        <w:rPr>
          <w:rFonts w:cstheme="minorHAnsi"/>
          <w:b/>
          <w:sz w:val="24"/>
          <w:szCs w:val="24"/>
        </w:rPr>
      </w:pPr>
      <w:r w:rsidRPr="00477DB2">
        <w:rPr>
          <w:rFonts w:cstheme="minorHAnsi"/>
          <w:b/>
          <w:sz w:val="24"/>
          <w:szCs w:val="24"/>
        </w:rPr>
        <w:t>CAPÍTULO XIII</w:t>
      </w:r>
    </w:p>
    <w:p w:rsidR="00477DB2" w:rsidRPr="00477DB2" w:rsidRDefault="00477DB2" w:rsidP="00477DB2">
      <w:pPr>
        <w:spacing w:after="0" w:line="360" w:lineRule="auto"/>
        <w:jc w:val="center"/>
        <w:rPr>
          <w:rFonts w:cstheme="minorHAnsi"/>
          <w:b/>
          <w:sz w:val="24"/>
          <w:szCs w:val="24"/>
        </w:rPr>
      </w:pPr>
      <w:r w:rsidRPr="00477DB2">
        <w:rPr>
          <w:rFonts w:cstheme="minorHAnsi"/>
          <w:b/>
          <w:sz w:val="24"/>
          <w:szCs w:val="24"/>
        </w:rPr>
        <w:t>De la Secretaría de Fomento Económico y Trabajo</w:t>
      </w:r>
    </w:p>
    <w:p w:rsidR="00477DB2" w:rsidRDefault="00477DB2" w:rsidP="00477DB2">
      <w:pPr>
        <w:spacing w:after="0" w:line="360" w:lineRule="auto"/>
        <w:jc w:val="both"/>
        <w:rPr>
          <w:rFonts w:cstheme="minorHAnsi"/>
          <w:b/>
          <w:sz w:val="24"/>
          <w:szCs w:val="24"/>
        </w:rPr>
      </w:pPr>
    </w:p>
    <w:p w:rsidR="00477DB2" w:rsidRPr="00477DB2" w:rsidRDefault="00477DB2" w:rsidP="00477DB2">
      <w:pPr>
        <w:spacing w:after="0" w:line="360" w:lineRule="auto"/>
        <w:jc w:val="both"/>
        <w:rPr>
          <w:rFonts w:cstheme="minorHAnsi"/>
          <w:sz w:val="24"/>
          <w:szCs w:val="24"/>
        </w:rPr>
      </w:pPr>
      <w:r w:rsidRPr="00477DB2">
        <w:rPr>
          <w:rFonts w:cstheme="minorHAnsi"/>
          <w:b/>
          <w:sz w:val="24"/>
          <w:szCs w:val="24"/>
        </w:rPr>
        <w:t xml:space="preserve">Artículo 42. </w:t>
      </w:r>
      <w:r w:rsidRPr="00477DB2">
        <w:rPr>
          <w:rFonts w:cstheme="minorHAnsi"/>
          <w:sz w:val="24"/>
          <w:szCs w:val="24"/>
        </w:rPr>
        <w:t>A la Secretaría de Fomento Económico y Trabajo le corresponde el despacho de los siguientes asuntos:</w:t>
      </w:r>
    </w:p>
    <w:p w:rsidR="00477DB2" w:rsidRPr="00477DB2" w:rsidRDefault="00477DB2" w:rsidP="00477DB2">
      <w:pPr>
        <w:spacing w:after="0" w:line="360" w:lineRule="auto"/>
        <w:jc w:val="both"/>
        <w:rPr>
          <w:rFonts w:cstheme="minorHAnsi"/>
          <w:sz w:val="24"/>
          <w:szCs w:val="24"/>
        </w:rPr>
      </w:pPr>
    </w:p>
    <w:p w:rsidR="00477DB2" w:rsidRPr="00146678" w:rsidRDefault="00477DB2" w:rsidP="00477DB2">
      <w:pPr>
        <w:spacing w:after="0" w:line="360" w:lineRule="auto"/>
        <w:jc w:val="both"/>
        <w:rPr>
          <w:rFonts w:cstheme="minorHAnsi"/>
          <w:b/>
          <w:sz w:val="24"/>
          <w:szCs w:val="24"/>
        </w:rPr>
      </w:pPr>
      <w:r w:rsidRPr="00146678">
        <w:rPr>
          <w:rFonts w:cstheme="minorHAnsi"/>
          <w:b/>
          <w:sz w:val="24"/>
          <w:szCs w:val="24"/>
        </w:rPr>
        <w:t>I. al XXX</w:t>
      </w:r>
      <w:r w:rsidR="00280DBF">
        <w:rPr>
          <w:rFonts w:cstheme="minorHAnsi"/>
          <w:b/>
          <w:sz w:val="24"/>
          <w:szCs w:val="24"/>
        </w:rPr>
        <w:t>IX</w:t>
      </w:r>
      <w:r w:rsidRPr="00146678">
        <w:rPr>
          <w:rFonts w:cstheme="minorHAnsi"/>
          <w:b/>
          <w:sz w:val="24"/>
          <w:szCs w:val="24"/>
        </w:rPr>
        <w:t>. …</w:t>
      </w:r>
    </w:p>
    <w:p w:rsidR="00477DB2" w:rsidRPr="00477DB2" w:rsidRDefault="00477DB2" w:rsidP="00477DB2">
      <w:pPr>
        <w:spacing w:after="0" w:line="360" w:lineRule="auto"/>
        <w:jc w:val="both"/>
        <w:rPr>
          <w:rFonts w:cstheme="minorHAnsi"/>
          <w:sz w:val="24"/>
          <w:szCs w:val="24"/>
        </w:rPr>
      </w:pPr>
    </w:p>
    <w:p w:rsidR="00477DB2" w:rsidRPr="00477DB2" w:rsidRDefault="00477DB2" w:rsidP="00477DB2">
      <w:pPr>
        <w:spacing w:after="0" w:line="360" w:lineRule="auto"/>
        <w:jc w:val="both"/>
        <w:rPr>
          <w:rFonts w:cstheme="minorHAnsi"/>
          <w:sz w:val="24"/>
          <w:szCs w:val="24"/>
        </w:rPr>
      </w:pPr>
      <w:r w:rsidRPr="00146678">
        <w:rPr>
          <w:rFonts w:cstheme="minorHAnsi"/>
          <w:b/>
          <w:sz w:val="24"/>
          <w:szCs w:val="24"/>
        </w:rPr>
        <w:t>X</w:t>
      </w:r>
      <w:r w:rsidR="00280DBF">
        <w:rPr>
          <w:rFonts w:cstheme="minorHAnsi"/>
          <w:b/>
          <w:sz w:val="24"/>
          <w:szCs w:val="24"/>
        </w:rPr>
        <w:t>L</w:t>
      </w:r>
      <w:r w:rsidRPr="00146678">
        <w:rPr>
          <w:rFonts w:cstheme="minorHAnsi"/>
          <w:b/>
          <w:sz w:val="24"/>
          <w:szCs w:val="24"/>
        </w:rPr>
        <w:t>.-</w:t>
      </w:r>
      <w:r w:rsidRPr="00477DB2">
        <w:rPr>
          <w:rFonts w:cstheme="minorHAnsi"/>
          <w:sz w:val="24"/>
          <w:szCs w:val="24"/>
        </w:rPr>
        <w:t xml:space="preserve"> Diseñar e instrumentar los servicios de Cerrajería en el Estado;</w:t>
      </w:r>
      <w:r w:rsidR="00280DBF">
        <w:rPr>
          <w:rFonts w:cstheme="minorHAnsi"/>
          <w:sz w:val="24"/>
          <w:szCs w:val="24"/>
        </w:rPr>
        <w:t xml:space="preserve"> </w:t>
      </w:r>
    </w:p>
    <w:p w:rsidR="00477DB2" w:rsidRPr="00477DB2" w:rsidRDefault="00477DB2" w:rsidP="00477DB2">
      <w:pPr>
        <w:spacing w:after="0" w:line="360" w:lineRule="auto"/>
        <w:jc w:val="both"/>
        <w:rPr>
          <w:rFonts w:cstheme="minorHAnsi"/>
          <w:sz w:val="24"/>
          <w:szCs w:val="24"/>
        </w:rPr>
      </w:pPr>
    </w:p>
    <w:p w:rsidR="00782AC9" w:rsidRPr="00477DB2" w:rsidRDefault="00477DB2" w:rsidP="00884A46">
      <w:pPr>
        <w:spacing w:after="0" w:line="360" w:lineRule="auto"/>
        <w:ind w:left="708" w:hanging="708"/>
        <w:jc w:val="both"/>
        <w:rPr>
          <w:rFonts w:cstheme="minorHAnsi"/>
          <w:sz w:val="24"/>
          <w:szCs w:val="24"/>
        </w:rPr>
      </w:pPr>
      <w:r w:rsidRPr="00146678">
        <w:rPr>
          <w:rFonts w:cstheme="minorHAnsi"/>
          <w:b/>
          <w:sz w:val="24"/>
          <w:szCs w:val="24"/>
        </w:rPr>
        <w:t>XL</w:t>
      </w:r>
      <w:r w:rsidR="00280DBF">
        <w:rPr>
          <w:rFonts w:cstheme="minorHAnsi"/>
          <w:b/>
          <w:sz w:val="24"/>
          <w:szCs w:val="24"/>
        </w:rPr>
        <w:t>I</w:t>
      </w:r>
      <w:r w:rsidRPr="00146678">
        <w:rPr>
          <w:rFonts w:cstheme="minorHAnsi"/>
          <w:b/>
          <w:sz w:val="24"/>
          <w:szCs w:val="24"/>
        </w:rPr>
        <w:t>.-</w:t>
      </w:r>
      <w:r w:rsidRPr="00477DB2">
        <w:rPr>
          <w:rFonts w:cstheme="minorHAnsi"/>
          <w:sz w:val="24"/>
          <w:szCs w:val="24"/>
        </w:rPr>
        <w:t xml:space="preserve"> Crear, operar y mantener actualizado el Registro Único de Prestadores de Servicios de Cerrajería, en coordinación con la Secretaria de Seguridad Públi</w:t>
      </w:r>
      <w:r w:rsidR="00884A46">
        <w:rPr>
          <w:rFonts w:cstheme="minorHAnsi"/>
          <w:sz w:val="24"/>
          <w:szCs w:val="24"/>
        </w:rPr>
        <w:t>ca, en el cual se hará entrega</w:t>
      </w:r>
      <w:r w:rsidRPr="00477DB2">
        <w:rPr>
          <w:rFonts w:cstheme="minorHAnsi"/>
          <w:sz w:val="24"/>
          <w:szCs w:val="24"/>
        </w:rPr>
        <w:t xml:space="preserve"> de un certificado que conste en dicho registro;</w:t>
      </w:r>
    </w:p>
    <w:p w:rsidR="00EB22A0" w:rsidRDefault="00EB22A0" w:rsidP="00B3493C">
      <w:pPr>
        <w:spacing w:after="0" w:line="360" w:lineRule="auto"/>
        <w:jc w:val="both"/>
        <w:rPr>
          <w:rFonts w:eastAsia="Arial Unicode MS" w:cstheme="minorHAnsi"/>
          <w:b/>
          <w:bCs/>
          <w:sz w:val="24"/>
          <w:szCs w:val="24"/>
        </w:rPr>
      </w:pPr>
    </w:p>
    <w:p w:rsidR="00B3493C" w:rsidRPr="000D5608" w:rsidRDefault="00B3493C" w:rsidP="00B3493C">
      <w:pPr>
        <w:spacing w:after="0" w:line="360" w:lineRule="auto"/>
        <w:jc w:val="both"/>
        <w:rPr>
          <w:rFonts w:cstheme="minorHAnsi"/>
          <w:b/>
          <w:sz w:val="24"/>
          <w:szCs w:val="24"/>
        </w:rPr>
      </w:pPr>
      <w:r w:rsidRPr="000D5608">
        <w:rPr>
          <w:rFonts w:eastAsia="Arial Unicode MS" w:cstheme="minorHAnsi"/>
          <w:b/>
          <w:bCs/>
          <w:sz w:val="24"/>
          <w:szCs w:val="24"/>
        </w:rPr>
        <w:t xml:space="preserve">ARTÍCULO </w:t>
      </w:r>
      <w:r>
        <w:rPr>
          <w:rFonts w:eastAsia="Arial Unicode MS" w:cstheme="minorHAnsi"/>
          <w:b/>
          <w:bCs/>
          <w:sz w:val="24"/>
          <w:szCs w:val="24"/>
        </w:rPr>
        <w:t>SEGUNDO</w:t>
      </w:r>
      <w:r w:rsidRPr="000D5608">
        <w:rPr>
          <w:rFonts w:eastAsia="Arial Unicode MS" w:cstheme="minorHAnsi"/>
          <w:b/>
          <w:bCs/>
          <w:sz w:val="24"/>
          <w:szCs w:val="24"/>
        </w:rPr>
        <w:t xml:space="preserve">: </w:t>
      </w:r>
      <w:r w:rsidR="000C2E2E">
        <w:rPr>
          <w:rFonts w:eastAsia="Arial Unicode MS" w:cstheme="minorHAnsi"/>
          <w:b/>
          <w:bCs/>
          <w:sz w:val="24"/>
          <w:szCs w:val="24"/>
        </w:rPr>
        <w:t>SE ADICIONA</w:t>
      </w:r>
      <w:r w:rsidR="00F70972">
        <w:rPr>
          <w:rFonts w:eastAsia="Arial Unicode MS" w:cstheme="minorHAnsi"/>
          <w:b/>
          <w:bCs/>
          <w:sz w:val="24"/>
          <w:szCs w:val="24"/>
        </w:rPr>
        <w:t>N</w:t>
      </w:r>
      <w:r w:rsidR="000C2E2E">
        <w:rPr>
          <w:rFonts w:eastAsia="Arial Unicode MS" w:cstheme="minorHAnsi"/>
          <w:b/>
          <w:bCs/>
          <w:sz w:val="24"/>
          <w:szCs w:val="24"/>
        </w:rPr>
        <w:t xml:space="preserve">: UN CAPITULO </w:t>
      </w:r>
      <w:r w:rsidR="000C2E2E" w:rsidRPr="000C2E2E">
        <w:rPr>
          <w:rFonts w:eastAsia="Arial Unicode MS" w:cstheme="minorHAnsi"/>
          <w:b/>
          <w:bCs/>
          <w:sz w:val="24"/>
          <w:szCs w:val="24"/>
        </w:rPr>
        <w:t>CAPÍTULO VIII BIS</w:t>
      </w:r>
      <w:r w:rsidR="000C2E2E">
        <w:rPr>
          <w:rFonts w:eastAsia="Arial Unicode MS" w:cstheme="minorHAnsi"/>
          <w:b/>
          <w:bCs/>
          <w:sz w:val="24"/>
          <w:szCs w:val="24"/>
        </w:rPr>
        <w:t xml:space="preserve"> AL </w:t>
      </w:r>
      <w:r w:rsidR="000C2E2E" w:rsidRPr="000C2E2E">
        <w:rPr>
          <w:rFonts w:eastAsia="Arial Unicode MS" w:cstheme="minorHAnsi"/>
          <w:b/>
          <w:bCs/>
          <w:sz w:val="24"/>
          <w:szCs w:val="24"/>
        </w:rPr>
        <w:t>TÍTULO DECIMONOVENO</w:t>
      </w:r>
      <w:r w:rsidR="00F70972">
        <w:rPr>
          <w:rFonts w:eastAsia="Arial Unicode MS" w:cstheme="minorHAnsi"/>
          <w:b/>
          <w:bCs/>
          <w:sz w:val="24"/>
          <w:szCs w:val="24"/>
        </w:rPr>
        <w:t>, SE ADICIONAN</w:t>
      </w:r>
      <w:r w:rsidR="000C2E2E">
        <w:rPr>
          <w:rFonts w:eastAsia="Arial Unicode MS" w:cstheme="minorHAnsi"/>
          <w:b/>
          <w:bCs/>
          <w:sz w:val="24"/>
          <w:szCs w:val="24"/>
        </w:rPr>
        <w:t xml:space="preserve"> LOS ARTÍCULOS</w:t>
      </w:r>
      <w:r w:rsidR="000C2E2E" w:rsidRPr="000C2E2E">
        <w:rPr>
          <w:rFonts w:eastAsia="Arial Unicode MS" w:cstheme="minorHAnsi"/>
          <w:b/>
          <w:bCs/>
          <w:sz w:val="24"/>
          <w:szCs w:val="24"/>
        </w:rPr>
        <w:t xml:space="preserve"> 350 BIS</w:t>
      </w:r>
      <w:r w:rsidR="000C2E2E">
        <w:rPr>
          <w:rFonts w:eastAsia="Arial Unicode MS" w:cstheme="minorHAnsi"/>
          <w:b/>
          <w:bCs/>
          <w:sz w:val="24"/>
          <w:szCs w:val="24"/>
        </w:rPr>
        <w:t xml:space="preserve">, </w:t>
      </w:r>
      <w:r w:rsidR="000C2E2E" w:rsidRPr="000C2E2E">
        <w:rPr>
          <w:rFonts w:eastAsia="Arial Unicode MS" w:cstheme="minorHAnsi"/>
          <w:b/>
          <w:bCs/>
          <w:sz w:val="24"/>
          <w:szCs w:val="24"/>
        </w:rPr>
        <w:t>350 TER</w:t>
      </w:r>
      <w:r w:rsidR="000C2E2E">
        <w:rPr>
          <w:rFonts w:eastAsia="Arial Unicode MS" w:cstheme="minorHAnsi"/>
          <w:b/>
          <w:bCs/>
          <w:sz w:val="24"/>
          <w:szCs w:val="24"/>
        </w:rPr>
        <w:t xml:space="preserve"> Y </w:t>
      </w:r>
      <w:r w:rsidR="000C2E2E" w:rsidRPr="000C2E2E">
        <w:rPr>
          <w:rFonts w:eastAsia="Arial Unicode MS" w:cstheme="minorHAnsi"/>
          <w:b/>
          <w:bCs/>
          <w:sz w:val="24"/>
          <w:szCs w:val="24"/>
        </w:rPr>
        <w:t>350 CUATER</w:t>
      </w:r>
      <w:r w:rsidR="00EB22A0">
        <w:rPr>
          <w:rFonts w:eastAsia="Arial Unicode MS" w:cstheme="minorHAnsi"/>
          <w:b/>
          <w:bCs/>
          <w:sz w:val="24"/>
          <w:szCs w:val="24"/>
        </w:rPr>
        <w:t xml:space="preserve"> TODOS DEL </w:t>
      </w:r>
      <w:r w:rsidR="00EB22A0" w:rsidRPr="00EB22A0">
        <w:rPr>
          <w:rFonts w:eastAsia="Arial Unicode MS" w:cstheme="minorHAnsi"/>
          <w:b/>
          <w:bCs/>
          <w:sz w:val="24"/>
          <w:szCs w:val="24"/>
        </w:rPr>
        <w:t>CÓDIGO PENAL DEL ESTADO DE YUCATÁN</w:t>
      </w:r>
      <w:r w:rsidR="00EB22A0">
        <w:rPr>
          <w:rFonts w:eastAsia="Arial Unicode MS" w:cstheme="minorHAnsi"/>
          <w:b/>
          <w:bCs/>
          <w:sz w:val="24"/>
          <w:szCs w:val="24"/>
        </w:rPr>
        <w:t>.</w:t>
      </w:r>
    </w:p>
    <w:p w:rsidR="000D5608" w:rsidRDefault="000D5608" w:rsidP="00782AC9">
      <w:pPr>
        <w:spacing w:after="0" w:line="360" w:lineRule="auto"/>
        <w:jc w:val="both"/>
        <w:rPr>
          <w:rFonts w:cstheme="minorHAnsi"/>
          <w:b/>
          <w:sz w:val="24"/>
          <w:szCs w:val="24"/>
        </w:rPr>
      </w:pPr>
    </w:p>
    <w:p w:rsidR="00477DB2" w:rsidRPr="00477DB2" w:rsidRDefault="00477DB2" w:rsidP="00477DB2">
      <w:pPr>
        <w:spacing w:after="0" w:line="360" w:lineRule="auto"/>
        <w:jc w:val="center"/>
        <w:rPr>
          <w:rFonts w:cstheme="minorHAnsi"/>
          <w:b/>
          <w:sz w:val="24"/>
          <w:szCs w:val="24"/>
        </w:rPr>
      </w:pPr>
      <w:r w:rsidRPr="00477DB2">
        <w:rPr>
          <w:rFonts w:cstheme="minorHAnsi"/>
          <w:b/>
          <w:sz w:val="24"/>
          <w:szCs w:val="24"/>
        </w:rPr>
        <w:t>TÍTULO DECIMONOVENO</w:t>
      </w:r>
    </w:p>
    <w:p w:rsidR="00D34868" w:rsidRDefault="00D34868" w:rsidP="00477DB2">
      <w:pPr>
        <w:spacing w:after="0" w:line="360" w:lineRule="auto"/>
        <w:jc w:val="center"/>
        <w:rPr>
          <w:rFonts w:cstheme="minorHAnsi"/>
          <w:b/>
          <w:sz w:val="24"/>
          <w:szCs w:val="24"/>
        </w:rPr>
      </w:pPr>
    </w:p>
    <w:p w:rsidR="00477DB2" w:rsidRPr="00477DB2" w:rsidRDefault="00477DB2" w:rsidP="00477DB2">
      <w:pPr>
        <w:spacing w:after="0" w:line="360" w:lineRule="auto"/>
        <w:jc w:val="center"/>
        <w:rPr>
          <w:rFonts w:cstheme="minorHAnsi"/>
          <w:b/>
          <w:sz w:val="24"/>
          <w:szCs w:val="24"/>
        </w:rPr>
      </w:pPr>
      <w:r w:rsidRPr="00477DB2">
        <w:rPr>
          <w:rFonts w:cstheme="minorHAnsi"/>
          <w:b/>
          <w:sz w:val="24"/>
          <w:szCs w:val="24"/>
        </w:rPr>
        <w:t>DELITOS CONTRA EL PATRIMONIO</w:t>
      </w:r>
    </w:p>
    <w:p w:rsidR="00477DB2" w:rsidRPr="00477DB2" w:rsidRDefault="00477DB2" w:rsidP="00477DB2">
      <w:pPr>
        <w:spacing w:after="0" w:line="360" w:lineRule="auto"/>
        <w:jc w:val="center"/>
        <w:rPr>
          <w:rFonts w:cstheme="minorHAnsi"/>
          <w:b/>
          <w:sz w:val="24"/>
          <w:szCs w:val="24"/>
        </w:rPr>
      </w:pPr>
      <w:r w:rsidRPr="00477DB2">
        <w:rPr>
          <w:rFonts w:cstheme="minorHAnsi"/>
          <w:b/>
          <w:sz w:val="24"/>
          <w:szCs w:val="24"/>
        </w:rPr>
        <w:t>CAPÍTULO VIII BIS</w:t>
      </w:r>
    </w:p>
    <w:p w:rsidR="000C2E2E" w:rsidRDefault="00477DB2" w:rsidP="000C2E2E">
      <w:pPr>
        <w:spacing w:after="0" w:line="360" w:lineRule="auto"/>
        <w:jc w:val="center"/>
        <w:rPr>
          <w:rFonts w:cstheme="minorHAnsi"/>
          <w:b/>
          <w:sz w:val="24"/>
          <w:szCs w:val="24"/>
        </w:rPr>
      </w:pPr>
      <w:r w:rsidRPr="00477DB2">
        <w:rPr>
          <w:rFonts w:cstheme="minorHAnsi"/>
          <w:b/>
          <w:sz w:val="24"/>
          <w:szCs w:val="24"/>
        </w:rPr>
        <w:t>Portación ilegal de Instrumentos Destinados para la Profesión de Cerrajero</w:t>
      </w:r>
    </w:p>
    <w:p w:rsidR="003C2579" w:rsidRDefault="003C2579" w:rsidP="00477DB2">
      <w:pPr>
        <w:spacing w:after="0" w:line="360" w:lineRule="auto"/>
        <w:jc w:val="both"/>
        <w:rPr>
          <w:rFonts w:cstheme="minorHAnsi"/>
          <w:b/>
          <w:sz w:val="24"/>
          <w:szCs w:val="24"/>
        </w:rPr>
      </w:pPr>
    </w:p>
    <w:p w:rsidR="00477DB2" w:rsidRPr="00477DB2" w:rsidRDefault="00477DB2" w:rsidP="00477DB2">
      <w:pPr>
        <w:spacing w:after="0" w:line="360" w:lineRule="auto"/>
        <w:jc w:val="both"/>
        <w:rPr>
          <w:rFonts w:cstheme="minorHAnsi"/>
          <w:sz w:val="24"/>
          <w:szCs w:val="24"/>
        </w:rPr>
      </w:pPr>
      <w:r w:rsidRPr="00477DB2">
        <w:rPr>
          <w:rFonts w:cstheme="minorHAnsi"/>
          <w:b/>
          <w:sz w:val="24"/>
          <w:szCs w:val="24"/>
        </w:rPr>
        <w:t xml:space="preserve"> Artículo 350 BIS.- </w:t>
      </w:r>
      <w:r w:rsidRPr="00477DB2">
        <w:rPr>
          <w:rFonts w:cstheme="minorHAnsi"/>
          <w:sz w:val="24"/>
          <w:szCs w:val="24"/>
        </w:rPr>
        <w:t xml:space="preserve">Se entenderá </w:t>
      </w:r>
      <w:r w:rsidR="005A31AF">
        <w:rPr>
          <w:rFonts w:cstheme="minorHAnsi"/>
          <w:sz w:val="24"/>
          <w:szCs w:val="24"/>
        </w:rPr>
        <w:t xml:space="preserve">en este capítulo </w:t>
      </w:r>
      <w:r w:rsidRPr="00477DB2">
        <w:rPr>
          <w:rFonts w:cstheme="minorHAnsi"/>
          <w:sz w:val="24"/>
          <w:szCs w:val="24"/>
        </w:rPr>
        <w:t>por cerrajero a toda persona que se dedica a la profesión de abrir, reparar y darle mantenimiento a las cerraduras, candados, cerrojos y cilindros, tanto de puertas comunes como así también de vehículos.</w:t>
      </w:r>
    </w:p>
    <w:p w:rsidR="00280DBF" w:rsidRDefault="00280DBF" w:rsidP="00477DB2">
      <w:pPr>
        <w:spacing w:after="0" w:line="360" w:lineRule="auto"/>
        <w:jc w:val="both"/>
        <w:rPr>
          <w:rFonts w:cstheme="minorHAnsi"/>
          <w:b/>
          <w:sz w:val="24"/>
          <w:szCs w:val="24"/>
        </w:rPr>
      </w:pPr>
    </w:p>
    <w:p w:rsidR="00477DB2" w:rsidRPr="00477DB2" w:rsidRDefault="00477DB2" w:rsidP="00477DB2">
      <w:pPr>
        <w:spacing w:after="0" w:line="360" w:lineRule="auto"/>
        <w:jc w:val="both"/>
        <w:rPr>
          <w:rFonts w:cstheme="minorHAnsi"/>
          <w:sz w:val="24"/>
          <w:szCs w:val="24"/>
        </w:rPr>
      </w:pPr>
      <w:r w:rsidRPr="00477DB2">
        <w:rPr>
          <w:rFonts w:cstheme="minorHAnsi"/>
          <w:b/>
          <w:sz w:val="24"/>
          <w:szCs w:val="24"/>
        </w:rPr>
        <w:t xml:space="preserve">Artículo 350 TER.- </w:t>
      </w:r>
      <w:r w:rsidRPr="00477DB2">
        <w:rPr>
          <w:rFonts w:cstheme="minorHAnsi"/>
          <w:sz w:val="24"/>
          <w:szCs w:val="24"/>
        </w:rPr>
        <w:t>Al que porte o posea, sin un fin licito ganzúas, chorlas, llaves maestras o limadas o cualquier otro instrumento u objeto físico, scanner o cualquier otro dispositivo electrónico, destinado para abrir, bloquear, inhibir o forzar cerraduras o dispositivos de seguridad, con excepción de los que cuenten con el Registro Único de Prestadores de Servicios de Cerrajería, se le impondrá una pena de prisión de uno a cinco años y hasta una multa de 500 UMAS y se le decomisará el objeto o instrumento.</w:t>
      </w:r>
    </w:p>
    <w:p w:rsidR="00477DB2" w:rsidRDefault="00477DB2" w:rsidP="00477DB2">
      <w:pPr>
        <w:spacing w:after="0" w:line="360" w:lineRule="auto"/>
        <w:jc w:val="both"/>
        <w:rPr>
          <w:rFonts w:cstheme="minorHAnsi"/>
          <w:b/>
          <w:sz w:val="24"/>
          <w:szCs w:val="24"/>
        </w:rPr>
      </w:pPr>
    </w:p>
    <w:p w:rsidR="00EB22A0" w:rsidRPr="00EB22A0" w:rsidRDefault="00477DB2" w:rsidP="00EB22A0">
      <w:pPr>
        <w:spacing w:after="0" w:line="360" w:lineRule="auto"/>
        <w:jc w:val="both"/>
        <w:rPr>
          <w:rFonts w:cstheme="minorHAnsi"/>
          <w:sz w:val="24"/>
          <w:szCs w:val="24"/>
        </w:rPr>
      </w:pPr>
      <w:r w:rsidRPr="00477DB2">
        <w:rPr>
          <w:rFonts w:cstheme="minorHAnsi"/>
          <w:b/>
          <w:sz w:val="24"/>
          <w:szCs w:val="24"/>
        </w:rPr>
        <w:t xml:space="preserve">Artículo 350 CUATER.- </w:t>
      </w:r>
      <w:r w:rsidRPr="00477DB2">
        <w:rPr>
          <w:rFonts w:cstheme="minorHAnsi"/>
          <w:sz w:val="24"/>
          <w:szCs w:val="24"/>
        </w:rPr>
        <w:t>Sera obligación de todo Cerrajero que al presentar su servicio de aviso a la autoridad competente de cualquier indicio de un posible hecho delictivo.</w:t>
      </w:r>
    </w:p>
    <w:p w:rsidR="0046183A" w:rsidRDefault="0046183A" w:rsidP="00EB22A0">
      <w:pPr>
        <w:spacing w:after="0" w:line="360" w:lineRule="auto"/>
        <w:jc w:val="center"/>
        <w:rPr>
          <w:rFonts w:cstheme="minorHAnsi"/>
          <w:b/>
          <w:sz w:val="24"/>
          <w:szCs w:val="24"/>
        </w:rPr>
      </w:pPr>
    </w:p>
    <w:p w:rsidR="00ED3E6D" w:rsidRPr="00EB22A0" w:rsidRDefault="00ED3E6D" w:rsidP="00EB22A0">
      <w:pPr>
        <w:spacing w:after="0" w:line="360" w:lineRule="auto"/>
        <w:jc w:val="center"/>
        <w:rPr>
          <w:rFonts w:cstheme="minorHAnsi"/>
          <w:b/>
          <w:sz w:val="24"/>
          <w:szCs w:val="24"/>
        </w:rPr>
      </w:pPr>
      <w:r w:rsidRPr="000D5608">
        <w:rPr>
          <w:rFonts w:cstheme="minorHAnsi"/>
          <w:b/>
          <w:sz w:val="24"/>
          <w:szCs w:val="24"/>
        </w:rPr>
        <w:t>TRANSITORIOS</w:t>
      </w:r>
    </w:p>
    <w:p w:rsidR="0046183A" w:rsidRDefault="0046183A" w:rsidP="004F00DD">
      <w:pPr>
        <w:spacing w:after="0" w:line="360" w:lineRule="auto"/>
        <w:jc w:val="both"/>
        <w:rPr>
          <w:rFonts w:eastAsia="Arial Unicode MS" w:cstheme="minorHAnsi"/>
          <w:b/>
          <w:bCs/>
          <w:sz w:val="24"/>
          <w:szCs w:val="24"/>
        </w:rPr>
      </w:pPr>
    </w:p>
    <w:p w:rsidR="00ED3E6D" w:rsidRPr="00EB22A0" w:rsidRDefault="00ED3E6D" w:rsidP="004F00DD">
      <w:pPr>
        <w:spacing w:after="0" w:line="360" w:lineRule="auto"/>
        <w:jc w:val="both"/>
        <w:rPr>
          <w:rFonts w:cstheme="minorHAnsi"/>
          <w:sz w:val="24"/>
          <w:szCs w:val="24"/>
        </w:rPr>
      </w:pPr>
      <w:r w:rsidRPr="000D5608">
        <w:rPr>
          <w:rFonts w:eastAsia="Arial Unicode MS" w:cstheme="minorHAnsi"/>
          <w:b/>
          <w:bCs/>
          <w:sz w:val="24"/>
          <w:szCs w:val="24"/>
        </w:rPr>
        <w:t xml:space="preserve">ARTÍCULO PRIMERO.- </w:t>
      </w:r>
      <w:r w:rsidRPr="00EB22A0">
        <w:rPr>
          <w:rFonts w:eastAsia="Arial Unicode MS" w:cstheme="minorHAnsi"/>
          <w:bCs/>
          <w:sz w:val="24"/>
          <w:szCs w:val="24"/>
        </w:rPr>
        <w:t xml:space="preserve">EL PRESENTE DECRETO ENTRARÁ EN VIGOR </w:t>
      </w:r>
      <w:r w:rsidR="003737C3">
        <w:rPr>
          <w:rFonts w:eastAsia="Arial Unicode MS" w:cstheme="minorHAnsi"/>
          <w:bCs/>
          <w:sz w:val="24"/>
          <w:szCs w:val="24"/>
        </w:rPr>
        <w:t xml:space="preserve">AL DÍA SIGUIENTE </w:t>
      </w:r>
      <w:r w:rsidRPr="00EB22A0">
        <w:rPr>
          <w:rFonts w:eastAsia="Arial Unicode MS" w:cstheme="minorHAnsi"/>
          <w:bCs/>
          <w:sz w:val="24"/>
          <w:szCs w:val="24"/>
        </w:rPr>
        <w:t>DE SU PUBLICACIÓN EN EL DIARIO OFICIAL DEL ESTADO.</w:t>
      </w:r>
    </w:p>
    <w:p w:rsidR="00ED3E6D" w:rsidRDefault="00ED3E6D" w:rsidP="004F00DD">
      <w:pPr>
        <w:spacing w:after="0" w:line="360" w:lineRule="auto"/>
        <w:jc w:val="both"/>
        <w:rPr>
          <w:rFonts w:eastAsia="Arial Unicode MS" w:cstheme="minorHAnsi"/>
          <w:bCs/>
          <w:sz w:val="24"/>
          <w:szCs w:val="24"/>
        </w:rPr>
      </w:pPr>
    </w:p>
    <w:p w:rsidR="0046183A" w:rsidRPr="00EB22A0" w:rsidRDefault="0046183A" w:rsidP="004F00DD">
      <w:pPr>
        <w:spacing w:after="0" w:line="360" w:lineRule="auto"/>
        <w:jc w:val="both"/>
        <w:rPr>
          <w:rFonts w:eastAsia="Arial Unicode MS" w:cstheme="minorHAnsi"/>
          <w:bCs/>
          <w:sz w:val="24"/>
          <w:szCs w:val="24"/>
        </w:rPr>
      </w:pPr>
    </w:p>
    <w:p w:rsidR="00716377" w:rsidRPr="00EB22A0" w:rsidRDefault="00ED3E6D" w:rsidP="004F00DD">
      <w:pPr>
        <w:spacing w:after="0" w:line="360" w:lineRule="auto"/>
        <w:jc w:val="both"/>
        <w:rPr>
          <w:rFonts w:eastAsia="Arial Unicode MS" w:cstheme="minorHAnsi"/>
          <w:bCs/>
          <w:sz w:val="24"/>
          <w:szCs w:val="24"/>
        </w:rPr>
      </w:pPr>
      <w:r w:rsidRPr="000D5608">
        <w:rPr>
          <w:rFonts w:eastAsia="Arial Unicode MS" w:cstheme="minorHAnsi"/>
          <w:b/>
          <w:bCs/>
          <w:sz w:val="24"/>
          <w:szCs w:val="24"/>
        </w:rPr>
        <w:t xml:space="preserve">ARTÍCULO SEGUNDO.- </w:t>
      </w:r>
      <w:r w:rsidRPr="00EB22A0">
        <w:rPr>
          <w:rFonts w:eastAsia="Arial Unicode MS" w:cstheme="minorHAnsi"/>
          <w:bCs/>
          <w:sz w:val="24"/>
          <w:szCs w:val="24"/>
        </w:rPr>
        <w:t xml:space="preserve">SE DEROGAN </w:t>
      </w:r>
      <w:r w:rsidR="00B1463E" w:rsidRPr="00EB22A0">
        <w:rPr>
          <w:rFonts w:eastAsia="Arial Unicode MS" w:cstheme="minorHAnsi"/>
          <w:bCs/>
          <w:sz w:val="24"/>
          <w:szCs w:val="24"/>
        </w:rPr>
        <w:t>TODAS AQUELLAS</w:t>
      </w:r>
      <w:r w:rsidRPr="00EB22A0">
        <w:rPr>
          <w:rFonts w:eastAsia="Arial Unicode MS" w:cstheme="minorHAnsi"/>
          <w:bCs/>
          <w:sz w:val="24"/>
          <w:szCs w:val="24"/>
        </w:rPr>
        <w:t xml:space="preserve"> DISPOSICIONES DE IGUAL O MENOR JERARQUÍA, QUE SE OPONGA AL PRESENTE DECRETO</w:t>
      </w:r>
    </w:p>
    <w:p w:rsidR="0020399D" w:rsidRDefault="0020399D" w:rsidP="00E749D7">
      <w:pPr>
        <w:autoSpaceDE w:val="0"/>
        <w:autoSpaceDN w:val="0"/>
        <w:adjustRightInd w:val="0"/>
        <w:spacing w:after="0" w:line="360" w:lineRule="auto"/>
        <w:jc w:val="both"/>
        <w:rPr>
          <w:rFonts w:cstheme="minorHAnsi"/>
          <w:sz w:val="24"/>
          <w:szCs w:val="24"/>
          <w:lang w:val="es-ES"/>
        </w:rPr>
      </w:pPr>
    </w:p>
    <w:p w:rsidR="0046183A" w:rsidRPr="00EB22A0" w:rsidRDefault="0046183A" w:rsidP="00E749D7">
      <w:pPr>
        <w:autoSpaceDE w:val="0"/>
        <w:autoSpaceDN w:val="0"/>
        <w:adjustRightInd w:val="0"/>
        <w:spacing w:after="0" w:line="360" w:lineRule="auto"/>
        <w:jc w:val="both"/>
        <w:rPr>
          <w:rFonts w:cstheme="minorHAnsi"/>
          <w:sz w:val="24"/>
          <w:szCs w:val="24"/>
          <w:lang w:val="es-ES"/>
        </w:rPr>
      </w:pPr>
    </w:p>
    <w:p w:rsidR="00727C36" w:rsidRPr="00EB22A0" w:rsidRDefault="00766D02" w:rsidP="00E749D7">
      <w:pPr>
        <w:autoSpaceDE w:val="0"/>
        <w:autoSpaceDN w:val="0"/>
        <w:adjustRightInd w:val="0"/>
        <w:spacing w:after="0" w:line="360" w:lineRule="auto"/>
        <w:jc w:val="both"/>
        <w:rPr>
          <w:rFonts w:cstheme="minorHAnsi"/>
          <w:sz w:val="24"/>
          <w:szCs w:val="24"/>
          <w:lang w:val="es-ES"/>
        </w:rPr>
      </w:pPr>
      <w:r w:rsidRPr="000D5608">
        <w:rPr>
          <w:rFonts w:cstheme="minorHAnsi"/>
          <w:b/>
          <w:sz w:val="24"/>
          <w:szCs w:val="24"/>
          <w:lang w:val="es-ES"/>
        </w:rPr>
        <w:t xml:space="preserve">TERCERO.- </w:t>
      </w:r>
      <w:r w:rsidRPr="00EB22A0">
        <w:rPr>
          <w:rFonts w:cstheme="minorHAnsi"/>
          <w:sz w:val="24"/>
          <w:szCs w:val="24"/>
          <w:lang w:val="es-ES"/>
        </w:rPr>
        <w:t xml:space="preserve">EL GOBIERNO DEL ESTADO TENDRÁ UN PLAZO DE 90 DÍAS PARA EL REGLAMENTO </w:t>
      </w:r>
      <w:r w:rsidR="00D716BD" w:rsidRPr="00EB22A0">
        <w:rPr>
          <w:rFonts w:cstheme="minorHAnsi"/>
          <w:sz w:val="24"/>
          <w:szCs w:val="24"/>
          <w:lang w:val="es-ES"/>
        </w:rPr>
        <w:t>EN</w:t>
      </w:r>
      <w:r w:rsidRPr="00EB22A0">
        <w:rPr>
          <w:rFonts w:cstheme="minorHAnsi"/>
          <w:sz w:val="24"/>
          <w:szCs w:val="24"/>
          <w:lang w:val="es-ES"/>
        </w:rPr>
        <w:t xml:space="preserve"> MATERIA CON LAS DISPOSICIONES NECESARIAS.</w:t>
      </w:r>
    </w:p>
    <w:p w:rsidR="0046183A" w:rsidRPr="000D5608" w:rsidRDefault="0046183A" w:rsidP="00E749D7">
      <w:pPr>
        <w:autoSpaceDE w:val="0"/>
        <w:autoSpaceDN w:val="0"/>
        <w:adjustRightInd w:val="0"/>
        <w:spacing w:after="0" w:line="360" w:lineRule="auto"/>
        <w:jc w:val="both"/>
        <w:rPr>
          <w:rFonts w:cstheme="minorHAnsi"/>
          <w:b/>
          <w:sz w:val="24"/>
          <w:szCs w:val="24"/>
          <w:lang w:val="es-ES"/>
        </w:rPr>
      </w:pPr>
    </w:p>
    <w:p w:rsidR="00F20F6A" w:rsidRDefault="008914CF" w:rsidP="00E749D7">
      <w:pPr>
        <w:autoSpaceDE w:val="0"/>
        <w:autoSpaceDN w:val="0"/>
        <w:adjustRightInd w:val="0"/>
        <w:spacing w:after="0" w:line="360" w:lineRule="auto"/>
        <w:jc w:val="both"/>
        <w:rPr>
          <w:rFonts w:cstheme="minorHAnsi"/>
          <w:b/>
          <w:sz w:val="24"/>
          <w:szCs w:val="24"/>
          <w:lang w:val="es-ES"/>
        </w:rPr>
      </w:pPr>
      <w:r w:rsidRPr="000D5608">
        <w:rPr>
          <w:rFonts w:cstheme="minorHAnsi"/>
          <w:b/>
          <w:sz w:val="24"/>
          <w:szCs w:val="24"/>
          <w:lang w:val="es-ES"/>
        </w:rPr>
        <w:t>PROTESTAMOS LO NECESARIO EN LA CIUDAD DE MÉRIDA, YUCATAN A LOS 1</w:t>
      </w:r>
      <w:r w:rsidR="00D716BD">
        <w:rPr>
          <w:rFonts w:cstheme="minorHAnsi"/>
          <w:b/>
          <w:sz w:val="24"/>
          <w:szCs w:val="24"/>
          <w:lang w:val="es-ES"/>
        </w:rPr>
        <w:t>8</w:t>
      </w:r>
      <w:r w:rsidRPr="000D5608">
        <w:rPr>
          <w:rFonts w:cstheme="minorHAnsi"/>
          <w:b/>
          <w:sz w:val="24"/>
          <w:szCs w:val="24"/>
          <w:lang w:val="es-ES"/>
        </w:rPr>
        <w:t xml:space="preserve"> DÍAS DEL MES DE </w:t>
      </w:r>
      <w:r w:rsidR="000833AD" w:rsidRPr="000D5608">
        <w:rPr>
          <w:rFonts w:cstheme="minorHAnsi"/>
          <w:b/>
          <w:sz w:val="24"/>
          <w:szCs w:val="24"/>
          <w:lang w:val="es-ES"/>
        </w:rPr>
        <w:t>SEPTIEMBRE</w:t>
      </w:r>
      <w:r w:rsidR="00086241">
        <w:rPr>
          <w:rFonts w:cstheme="minorHAnsi"/>
          <w:b/>
          <w:sz w:val="24"/>
          <w:szCs w:val="24"/>
          <w:lang w:val="es-ES"/>
        </w:rPr>
        <w:t xml:space="preserve"> DE 2019</w:t>
      </w:r>
    </w:p>
    <w:p w:rsidR="0046183A" w:rsidRDefault="0046183A" w:rsidP="00E749D7">
      <w:pPr>
        <w:autoSpaceDE w:val="0"/>
        <w:autoSpaceDN w:val="0"/>
        <w:adjustRightInd w:val="0"/>
        <w:spacing w:after="0" w:line="360" w:lineRule="auto"/>
        <w:jc w:val="both"/>
        <w:rPr>
          <w:rFonts w:cstheme="minorHAnsi"/>
          <w:b/>
          <w:sz w:val="24"/>
          <w:szCs w:val="24"/>
          <w:lang w:val="es-ES"/>
        </w:rPr>
      </w:pPr>
    </w:p>
    <w:p w:rsidR="0046183A" w:rsidRPr="000D5608" w:rsidRDefault="0046183A" w:rsidP="00E749D7">
      <w:pPr>
        <w:autoSpaceDE w:val="0"/>
        <w:autoSpaceDN w:val="0"/>
        <w:adjustRightInd w:val="0"/>
        <w:spacing w:after="0" w:line="360" w:lineRule="auto"/>
        <w:jc w:val="both"/>
        <w:rPr>
          <w:rFonts w:cstheme="minorHAnsi"/>
          <w:b/>
          <w:sz w:val="24"/>
          <w:szCs w:val="24"/>
          <w:lang w:val="es-ES"/>
        </w:rPr>
      </w:pPr>
    </w:p>
    <w:p w:rsidR="00ED3E6D" w:rsidRDefault="00ED3E6D" w:rsidP="00C9358B">
      <w:pPr>
        <w:autoSpaceDE w:val="0"/>
        <w:autoSpaceDN w:val="0"/>
        <w:adjustRightInd w:val="0"/>
        <w:spacing w:after="0" w:line="360" w:lineRule="auto"/>
        <w:jc w:val="center"/>
        <w:rPr>
          <w:rFonts w:cstheme="minorHAnsi"/>
          <w:b/>
          <w:sz w:val="24"/>
          <w:szCs w:val="24"/>
          <w:lang w:val="es-ES"/>
        </w:rPr>
      </w:pPr>
      <w:r w:rsidRPr="000D5608">
        <w:rPr>
          <w:rFonts w:cstheme="minorHAnsi"/>
          <w:b/>
          <w:sz w:val="24"/>
          <w:szCs w:val="24"/>
          <w:lang w:val="es-ES"/>
        </w:rPr>
        <w:t>ATENTAMENTE</w:t>
      </w:r>
    </w:p>
    <w:p w:rsidR="0046183A" w:rsidRDefault="0046183A" w:rsidP="00C9358B">
      <w:pPr>
        <w:autoSpaceDE w:val="0"/>
        <w:autoSpaceDN w:val="0"/>
        <w:adjustRightInd w:val="0"/>
        <w:spacing w:after="0" w:line="360" w:lineRule="auto"/>
        <w:jc w:val="center"/>
        <w:rPr>
          <w:rFonts w:cstheme="minorHAnsi"/>
          <w:b/>
          <w:sz w:val="24"/>
          <w:szCs w:val="24"/>
          <w:lang w:val="es-ES"/>
        </w:rPr>
      </w:pPr>
    </w:p>
    <w:p w:rsidR="0046183A" w:rsidRPr="000D5608" w:rsidRDefault="0046183A" w:rsidP="00C9358B">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0D5608" w:rsidTr="00B57882">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Diputada</w:t>
            </w:r>
          </w:p>
        </w:tc>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Diputada</w:t>
            </w:r>
          </w:p>
        </w:tc>
      </w:tr>
      <w:tr w:rsidR="00ED3E6D" w:rsidRPr="000D5608" w:rsidTr="00B57882">
        <w:tc>
          <w:tcPr>
            <w:tcW w:w="4414" w:type="dxa"/>
          </w:tcPr>
          <w:p w:rsidR="00ED3E6D" w:rsidRPr="000D5608" w:rsidRDefault="00ED3E6D" w:rsidP="00EB22A0">
            <w:pPr>
              <w:spacing w:line="360" w:lineRule="auto"/>
              <w:rPr>
                <w:rStyle w:val="CharAttribute12"/>
                <w:rFonts w:asciiTheme="minorHAnsi" w:eastAsia="Batang" w:cstheme="minorHAnsi"/>
                <w:sz w:val="24"/>
                <w:szCs w:val="24"/>
              </w:rPr>
            </w:pP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__________________________</w:t>
            </w: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Silvia América López Escoffié</w:t>
            </w:r>
          </w:p>
        </w:tc>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__________________________</w:t>
            </w:r>
          </w:p>
          <w:p w:rsidR="003F651A" w:rsidRPr="000D5608" w:rsidRDefault="003F651A" w:rsidP="003F651A">
            <w:pP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            </w:t>
            </w:r>
            <w:r w:rsidR="00ED3E6D" w:rsidRPr="000D5608">
              <w:rPr>
                <w:rStyle w:val="CharAttribute12"/>
                <w:rFonts w:asciiTheme="minorHAnsi" w:eastAsia="Batang" w:cstheme="minorHAnsi"/>
                <w:sz w:val="24"/>
                <w:szCs w:val="24"/>
              </w:rPr>
              <w:t xml:space="preserve">María de los Milagros Romero </w:t>
            </w:r>
            <w:r w:rsidRPr="000D5608">
              <w:rPr>
                <w:rStyle w:val="CharAttribute12"/>
                <w:rFonts w:asciiTheme="minorHAnsi" w:eastAsia="Batang" w:cstheme="minorHAnsi"/>
                <w:sz w:val="24"/>
                <w:szCs w:val="24"/>
              </w:rPr>
              <w:t xml:space="preserve">                          </w:t>
            </w:r>
          </w:p>
          <w:p w:rsidR="00ED3E6D" w:rsidRPr="000D5608" w:rsidRDefault="003F651A" w:rsidP="003F651A">
            <w:pP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             </w:t>
            </w:r>
            <w:proofErr w:type="spellStart"/>
            <w:r w:rsidR="00ED3E6D" w:rsidRPr="000D5608">
              <w:rPr>
                <w:rStyle w:val="CharAttribute12"/>
                <w:rFonts w:asciiTheme="minorHAnsi" w:eastAsia="Batang" w:cstheme="minorHAnsi"/>
                <w:sz w:val="24"/>
                <w:szCs w:val="24"/>
              </w:rPr>
              <w:t>Bastarrachea</w:t>
            </w:r>
            <w:proofErr w:type="spellEnd"/>
          </w:p>
        </w:tc>
      </w:tr>
    </w:tbl>
    <w:p w:rsidR="00AC3519" w:rsidRPr="000D5608" w:rsidRDefault="00AC3519" w:rsidP="0046183A">
      <w:pPr>
        <w:spacing w:after="0" w:line="360" w:lineRule="auto"/>
        <w:jc w:val="both"/>
        <w:rPr>
          <w:rFonts w:cstheme="minorHAnsi"/>
          <w:sz w:val="24"/>
          <w:szCs w:val="24"/>
          <w:lang w:val="es-ES"/>
        </w:rPr>
      </w:pPr>
    </w:p>
    <w:sectPr w:rsidR="00AC3519" w:rsidRPr="000D56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6E" w:rsidRDefault="00834F6E" w:rsidP="00DD6F92">
      <w:pPr>
        <w:spacing w:after="0" w:line="240" w:lineRule="auto"/>
      </w:pPr>
      <w:r>
        <w:separator/>
      </w:r>
    </w:p>
  </w:endnote>
  <w:endnote w:type="continuationSeparator" w:id="0">
    <w:p w:rsidR="00834F6E" w:rsidRDefault="00834F6E"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57040B" w:rsidRPr="0057040B">
          <w:rPr>
            <w:noProof/>
            <w:lang w:val="es-ES"/>
          </w:rPr>
          <w:t>8</w:t>
        </w:r>
        <w:r>
          <w:fldChar w:fldCharType="end"/>
        </w:r>
      </w:p>
    </w:sdtContent>
  </w:sdt>
  <w:p w:rsidR="007A2798" w:rsidRPr="00F45D06" w:rsidRDefault="00146678" w:rsidP="00146678">
    <w:pPr>
      <w:pStyle w:val="Piedepgina"/>
      <w:jc w:val="both"/>
      <w:rPr>
        <w:sz w:val="14"/>
      </w:rPr>
    </w:pPr>
    <w:r w:rsidRPr="00146678">
      <w:rPr>
        <w:sz w:val="14"/>
      </w:rPr>
      <w:t>INICIATIVA DE DECRETO POR EL QUE</w:t>
    </w:r>
    <w:r>
      <w:rPr>
        <w:sz w:val="14"/>
      </w:rPr>
      <w:t xml:space="preserve"> SE </w:t>
    </w:r>
    <w:r w:rsidRPr="00146678">
      <w:rPr>
        <w:sz w:val="14"/>
      </w:rPr>
      <w:t>ADICIONAN DIVERSAS DISPOSICIONES DEL CÓDIGO DE LA ADMINISTRACIÓN PÚBLICA DE YUCATÁN Y EL CÓDIGO PENAL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6E" w:rsidRDefault="00834F6E" w:rsidP="00DD6F92">
      <w:pPr>
        <w:spacing w:after="0" w:line="240" w:lineRule="auto"/>
      </w:pPr>
      <w:r>
        <w:separator/>
      </w:r>
    </w:p>
  </w:footnote>
  <w:footnote w:type="continuationSeparator" w:id="0">
    <w:p w:rsidR="00834F6E" w:rsidRDefault="00834F6E"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92" w:rsidRPr="00196BCE" w:rsidRDefault="000E0143" w:rsidP="00DD6F92">
    <w:pPr>
      <w:spacing w:after="0"/>
    </w:pPr>
    <w:r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057498BD" wp14:editId="65144D7F">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1">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498BD"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2">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v:textbox>
              <w10:wrap type="square"/>
            </v:shape>
          </w:pict>
        </mc:Fallback>
      </mc:AlternateContent>
    </w:r>
    <w:r w:rsidR="00DD6F92">
      <w:rPr>
        <w:noProof/>
        <w:lang w:eastAsia="es-MX"/>
      </w:rPr>
      <w:drawing>
        <wp:anchor distT="0" distB="0" distL="114300" distR="114300" simplePos="0" relativeHeight="251654656" behindDoc="0" locked="0" layoutInCell="1" allowOverlap="1" wp14:anchorId="6EC16851" wp14:editId="0CCBE749">
          <wp:simplePos x="0" y="0"/>
          <wp:positionH relativeFrom="column">
            <wp:posOffset>-690069</wp:posOffset>
          </wp:positionH>
          <wp:positionV relativeFrom="paragraph">
            <wp:posOffset>-321945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sidR="00DD6F92" w:rsidRPr="006C7BEE">
      <w:rPr>
        <w:rFonts w:ascii="Times New Roman" w:hAnsi="Times New Roman" w:cs="Times New Roman"/>
      </w:rPr>
      <w:t>GOBIERNO DEL ESTADO DE YUCATAN</w:t>
    </w:r>
    <w:r>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sidR="00B1463E">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6755B3C1" wp14:editId="5DDDECB9">
              <wp:simplePos x="0" y="0"/>
              <wp:positionH relativeFrom="column">
                <wp:posOffset>-729642</wp:posOffset>
              </wp:positionH>
              <wp:positionV relativeFrom="paragraph">
                <wp:posOffset>163033</wp:posOffset>
              </wp:positionV>
              <wp:extent cx="1672590" cy="495935"/>
              <wp:effectExtent l="0" t="0" r="22860" b="18415"/>
              <wp:wrapThrough wrapText="bothSides">
                <wp:wrapPolygon edited="0">
                  <wp:start x="0" y="0"/>
                  <wp:lineTo x="0" y="21572"/>
                  <wp:lineTo x="21649" y="21572"/>
                  <wp:lineTo x="2164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593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B3C1" id="_x0000_s1027" type="#_x0000_t202" style="position:absolute;margin-left:-57.45pt;margin-top:12.85pt;width:131.7pt;height:39.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92"/>
    <w:rsid w:val="00001F7D"/>
    <w:rsid w:val="0000383F"/>
    <w:rsid w:val="00007569"/>
    <w:rsid w:val="00014BFA"/>
    <w:rsid w:val="00015EBF"/>
    <w:rsid w:val="00016865"/>
    <w:rsid w:val="000247AB"/>
    <w:rsid w:val="000408C1"/>
    <w:rsid w:val="00057B3D"/>
    <w:rsid w:val="000833AD"/>
    <w:rsid w:val="00086241"/>
    <w:rsid w:val="000A2E01"/>
    <w:rsid w:val="000A7786"/>
    <w:rsid w:val="000A7C53"/>
    <w:rsid w:val="000B3542"/>
    <w:rsid w:val="000C2E2E"/>
    <w:rsid w:val="000D5608"/>
    <w:rsid w:val="000E0143"/>
    <w:rsid w:val="000E3349"/>
    <w:rsid w:val="000E4D35"/>
    <w:rsid w:val="000E6F59"/>
    <w:rsid w:val="000F0037"/>
    <w:rsid w:val="000F1923"/>
    <w:rsid w:val="00104FEE"/>
    <w:rsid w:val="00121206"/>
    <w:rsid w:val="001372C0"/>
    <w:rsid w:val="00146678"/>
    <w:rsid w:val="00152079"/>
    <w:rsid w:val="00192472"/>
    <w:rsid w:val="00192A9D"/>
    <w:rsid w:val="001B0925"/>
    <w:rsid w:val="001B440A"/>
    <w:rsid w:val="001B483B"/>
    <w:rsid w:val="001C567F"/>
    <w:rsid w:val="001C67B1"/>
    <w:rsid w:val="001D67C2"/>
    <w:rsid w:val="001E3802"/>
    <w:rsid w:val="0020399D"/>
    <w:rsid w:val="002103CB"/>
    <w:rsid w:val="00212034"/>
    <w:rsid w:val="00216CA4"/>
    <w:rsid w:val="00232FBB"/>
    <w:rsid w:val="00235E41"/>
    <w:rsid w:val="00254BFB"/>
    <w:rsid w:val="0027199C"/>
    <w:rsid w:val="00280DBF"/>
    <w:rsid w:val="002926DD"/>
    <w:rsid w:val="002B0D0D"/>
    <w:rsid w:val="002B28C7"/>
    <w:rsid w:val="002B3983"/>
    <w:rsid w:val="002D0780"/>
    <w:rsid w:val="002D19D7"/>
    <w:rsid w:val="002E0788"/>
    <w:rsid w:val="002E0FD0"/>
    <w:rsid w:val="002E4338"/>
    <w:rsid w:val="002F1DE4"/>
    <w:rsid w:val="003279E8"/>
    <w:rsid w:val="0034567A"/>
    <w:rsid w:val="00346A85"/>
    <w:rsid w:val="00350604"/>
    <w:rsid w:val="0035384D"/>
    <w:rsid w:val="003666C0"/>
    <w:rsid w:val="003737C3"/>
    <w:rsid w:val="00381A0F"/>
    <w:rsid w:val="00381CC3"/>
    <w:rsid w:val="0038443B"/>
    <w:rsid w:val="003C2579"/>
    <w:rsid w:val="003D6BDD"/>
    <w:rsid w:val="003D7EF4"/>
    <w:rsid w:val="003E49D2"/>
    <w:rsid w:val="003E4A4E"/>
    <w:rsid w:val="003F156E"/>
    <w:rsid w:val="003F275F"/>
    <w:rsid w:val="003F651A"/>
    <w:rsid w:val="003F6711"/>
    <w:rsid w:val="004019A7"/>
    <w:rsid w:val="00415BA4"/>
    <w:rsid w:val="00430FC8"/>
    <w:rsid w:val="00434EC5"/>
    <w:rsid w:val="0044191F"/>
    <w:rsid w:val="0046183A"/>
    <w:rsid w:val="0047558F"/>
    <w:rsid w:val="00477DB2"/>
    <w:rsid w:val="00497741"/>
    <w:rsid w:val="004978F0"/>
    <w:rsid w:val="004A603F"/>
    <w:rsid w:val="004B69F7"/>
    <w:rsid w:val="004C603C"/>
    <w:rsid w:val="004C6A6B"/>
    <w:rsid w:val="004D04D0"/>
    <w:rsid w:val="004D5F35"/>
    <w:rsid w:val="004E55FB"/>
    <w:rsid w:val="004E6C31"/>
    <w:rsid w:val="004F00DD"/>
    <w:rsid w:val="004F588D"/>
    <w:rsid w:val="00510FBA"/>
    <w:rsid w:val="00527D04"/>
    <w:rsid w:val="00530BD0"/>
    <w:rsid w:val="00541C8D"/>
    <w:rsid w:val="00541F05"/>
    <w:rsid w:val="0055240C"/>
    <w:rsid w:val="005624A4"/>
    <w:rsid w:val="0057040B"/>
    <w:rsid w:val="00571C47"/>
    <w:rsid w:val="00572F1C"/>
    <w:rsid w:val="005A31AF"/>
    <w:rsid w:val="005A41C5"/>
    <w:rsid w:val="005A6EAA"/>
    <w:rsid w:val="005A768E"/>
    <w:rsid w:val="005B6B8C"/>
    <w:rsid w:val="005B703A"/>
    <w:rsid w:val="005C22BD"/>
    <w:rsid w:val="005C476F"/>
    <w:rsid w:val="005C55D3"/>
    <w:rsid w:val="005D1013"/>
    <w:rsid w:val="005D6C77"/>
    <w:rsid w:val="00626AB8"/>
    <w:rsid w:val="00636541"/>
    <w:rsid w:val="0064092B"/>
    <w:rsid w:val="00641C9F"/>
    <w:rsid w:val="006427DC"/>
    <w:rsid w:val="006504DF"/>
    <w:rsid w:val="006508DD"/>
    <w:rsid w:val="00653B1D"/>
    <w:rsid w:val="00670901"/>
    <w:rsid w:val="00671217"/>
    <w:rsid w:val="0068534F"/>
    <w:rsid w:val="0069492E"/>
    <w:rsid w:val="00695866"/>
    <w:rsid w:val="006A2328"/>
    <w:rsid w:val="006B1EFB"/>
    <w:rsid w:val="006D3E45"/>
    <w:rsid w:val="006D4B15"/>
    <w:rsid w:val="006E0DDA"/>
    <w:rsid w:val="006E7175"/>
    <w:rsid w:val="007026FE"/>
    <w:rsid w:val="00716377"/>
    <w:rsid w:val="00727C36"/>
    <w:rsid w:val="007634FC"/>
    <w:rsid w:val="00766D02"/>
    <w:rsid w:val="007678A4"/>
    <w:rsid w:val="00782AC9"/>
    <w:rsid w:val="00790CCD"/>
    <w:rsid w:val="007A2798"/>
    <w:rsid w:val="007C36FE"/>
    <w:rsid w:val="007E69B4"/>
    <w:rsid w:val="008001C9"/>
    <w:rsid w:val="00802093"/>
    <w:rsid w:val="008029E5"/>
    <w:rsid w:val="00834F6E"/>
    <w:rsid w:val="00841E6F"/>
    <w:rsid w:val="00844FDC"/>
    <w:rsid w:val="00857F84"/>
    <w:rsid w:val="00884A46"/>
    <w:rsid w:val="008906E7"/>
    <w:rsid w:val="008914CF"/>
    <w:rsid w:val="00896C6D"/>
    <w:rsid w:val="008A5EF7"/>
    <w:rsid w:val="008B6794"/>
    <w:rsid w:val="008C27CF"/>
    <w:rsid w:val="008E777D"/>
    <w:rsid w:val="00911651"/>
    <w:rsid w:val="0092540C"/>
    <w:rsid w:val="0092713F"/>
    <w:rsid w:val="00936898"/>
    <w:rsid w:val="00937F71"/>
    <w:rsid w:val="0095751C"/>
    <w:rsid w:val="00964B11"/>
    <w:rsid w:val="00A14EB7"/>
    <w:rsid w:val="00A1563B"/>
    <w:rsid w:val="00A23910"/>
    <w:rsid w:val="00A3583B"/>
    <w:rsid w:val="00A42388"/>
    <w:rsid w:val="00A66393"/>
    <w:rsid w:val="00A66ECE"/>
    <w:rsid w:val="00A859C7"/>
    <w:rsid w:val="00A951AB"/>
    <w:rsid w:val="00AA41CB"/>
    <w:rsid w:val="00AC11A1"/>
    <w:rsid w:val="00AC3519"/>
    <w:rsid w:val="00AD0791"/>
    <w:rsid w:val="00AD5EBA"/>
    <w:rsid w:val="00B011A3"/>
    <w:rsid w:val="00B01B0B"/>
    <w:rsid w:val="00B104FE"/>
    <w:rsid w:val="00B12D56"/>
    <w:rsid w:val="00B1463E"/>
    <w:rsid w:val="00B3493C"/>
    <w:rsid w:val="00B724FD"/>
    <w:rsid w:val="00B7446D"/>
    <w:rsid w:val="00B76CA7"/>
    <w:rsid w:val="00B803F9"/>
    <w:rsid w:val="00B873B3"/>
    <w:rsid w:val="00B94515"/>
    <w:rsid w:val="00B96966"/>
    <w:rsid w:val="00B97E7C"/>
    <w:rsid w:val="00BB4A9F"/>
    <w:rsid w:val="00BC2668"/>
    <w:rsid w:val="00BC677A"/>
    <w:rsid w:val="00BE7EFD"/>
    <w:rsid w:val="00BF1A97"/>
    <w:rsid w:val="00C04D19"/>
    <w:rsid w:val="00C24C5A"/>
    <w:rsid w:val="00C27C35"/>
    <w:rsid w:val="00C30F4A"/>
    <w:rsid w:val="00C44FE0"/>
    <w:rsid w:val="00C450BE"/>
    <w:rsid w:val="00C57F0E"/>
    <w:rsid w:val="00C641E0"/>
    <w:rsid w:val="00C858FB"/>
    <w:rsid w:val="00C9358B"/>
    <w:rsid w:val="00CA6C02"/>
    <w:rsid w:val="00CD0A5F"/>
    <w:rsid w:val="00CD18CC"/>
    <w:rsid w:val="00D34868"/>
    <w:rsid w:val="00D716BD"/>
    <w:rsid w:val="00D7382B"/>
    <w:rsid w:val="00D76BEE"/>
    <w:rsid w:val="00D847AF"/>
    <w:rsid w:val="00D87FB1"/>
    <w:rsid w:val="00DA2747"/>
    <w:rsid w:val="00DA41FD"/>
    <w:rsid w:val="00DB11ED"/>
    <w:rsid w:val="00DB2D6E"/>
    <w:rsid w:val="00DB38CA"/>
    <w:rsid w:val="00DC0234"/>
    <w:rsid w:val="00DC33C6"/>
    <w:rsid w:val="00DD0D90"/>
    <w:rsid w:val="00DD6F92"/>
    <w:rsid w:val="00DF3278"/>
    <w:rsid w:val="00E026E8"/>
    <w:rsid w:val="00E50CCC"/>
    <w:rsid w:val="00E545EF"/>
    <w:rsid w:val="00E749D7"/>
    <w:rsid w:val="00E8523B"/>
    <w:rsid w:val="00E86A0E"/>
    <w:rsid w:val="00E91DA7"/>
    <w:rsid w:val="00EB22A0"/>
    <w:rsid w:val="00EB5559"/>
    <w:rsid w:val="00EB60B9"/>
    <w:rsid w:val="00ED3E6D"/>
    <w:rsid w:val="00F01067"/>
    <w:rsid w:val="00F203D8"/>
    <w:rsid w:val="00F20F6A"/>
    <w:rsid w:val="00F45D06"/>
    <w:rsid w:val="00F530F9"/>
    <w:rsid w:val="00F67F59"/>
    <w:rsid w:val="00F70972"/>
    <w:rsid w:val="00F77A17"/>
    <w:rsid w:val="00F96019"/>
    <w:rsid w:val="00FB2A9A"/>
    <w:rsid w:val="00FB49D5"/>
    <w:rsid w:val="00FB6661"/>
    <w:rsid w:val="00FB695B"/>
    <w:rsid w:val="00FC1BF1"/>
    <w:rsid w:val="00FC70BE"/>
    <w:rsid w:val="00FC7659"/>
    <w:rsid w:val="00FD0AA2"/>
    <w:rsid w:val="00FD4330"/>
    <w:rsid w:val="00FE4CE5"/>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1374-3AD2-4BFC-86D5-B433325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 w:type="character" w:styleId="Hipervnculo">
    <w:name w:val="Hyperlink"/>
    <w:basedOn w:val="Fuentedeprrafopredeter"/>
    <w:uiPriority w:val="99"/>
    <w:unhideWhenUsed/>
    <w:rsid w:val="00DF3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8</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JORGE ARTURO RODRIGUEZ DEL MORAL</cp:lastModifiedBy>
  <cp:revision>51</cp:revision>
  <cp:lastPrinted>2019-09-18T16:43:00Z</cp:lastPrinted>
  <dcterms:created xsi:type="dcterms:W3CDTF">2019-06-12T14:41:00Z</dcterms:created>
  <dcterms:modified xsi:type="dcterms:W3CDTF">2019-09-18T18:10:00Z</dcterms:modified>
</cp:coreProperties>
</file>